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805B1" w14:textId="77777777" w:rsidR="00DD012E" w:rsidRDefault="00DD012E" w:rsidP="00DD012E">
      <w:pPr>
        <w:spacing w:line="360" w:lineRule="auto"/>
        <w:jc w:val="center"/>
        <w:rPr>
          <w:b/>
          <w:color w:val="00B050"/>
        </w:rPr>
      </w:pPr>
      <w:bookmarkStart w:id="0" w:name="_GoBack"/>
      <w:bookmarkEnd w:id="0"/>
    </w:p>
    <w:p w14:paraId="180F3D5B" w14:textId="77777777" w:rsidR="00DD012E" w:rsidRDefault="00DD012E" w:rsidP="00DD012E">
      <w:pPr>
        <w:spacing w:line="360" w:lineRule="auto"/>
        <w:jc w:val="center"/>
        <w:rPr>
          <w:b/>
          <w:color w:val="00B050"/>
        </w:rPr>
      </w:pPr>
    </w:p>
    <w:p w14:paraId="1BB18EAC" w14:textId="77777777" w:rsidR="00DD012E" w:rsidRDefault="00DD012E" w:rsidP="00DD012E">
      <w:pPr>
        <w:spacing w:line="360" w:lineRule="auto"/>
        <w:jc w:val="center"/>
        <w:rPr>
          <w:b/>
          <w:color w:val="00B050"/>
        </w:rPr>
      </w:pPr>
    </w:p>
    <w:p w14:paraId="05BB2252" w14:textId="77777777" w:rsidR="003D18E7" w:rsidRDefault="003D18E7" w:rsidP="00DD012E">
      <w:pPr>
        <w:spacing w:line="360" w:lineRule="auto"/>
        <w:jc w:val="center"/>
        <w:rPr>
          <w:b/>
          <w:color w:val="00B050"/>
        </w:rPr>
      </w:pPr>
    </w:p>
    <w:p w14:paraId="7720625A" w14:textId="77777777" w:rsidR="00DD012E" w:rsidRPr="00DD012E" w:rsidRDefault="00DD012E" w:rsidP="00DD012E">
      <w:pPr>
        <w:spacing w:line="360" w:lineRule="auto"/>
        <w:jc w:val="center"/>
        <w:rPr>
          <w:b/>
          <w:color w:val="00B050"/>
        </w:rPr>
      </w:pPr>
    </w:p>
    <w:p w14:paraId="306A0A3C" w14:textId="77777777" w:rsidR="00DD012E" w:rsidRPr="00DD012E" w:rsidRDefault="00DD012E" w:rsidP="00DD012E">
      <w:pPr>
        <w:jc w:val="center"/>
        <w:rPr>
          <w:b/>
          <w:color w:val="00B050"/>
          <w:sz w:val="72"/>
          <w:szCs w:val="72"/>
        </w:rPr>
      </w:pPr>
      <w:r w:rsidRPr="00DD012E">
        <w:rPr>
          <w:b/>
          <w:color w:val="00B050"/>
          <w:sz w:val="72"/>
          <w:szCs w:val="72"/>
        </w:rPr>
        <w:t>TECHNICKÁ ZPRÁVA</w:t>
      </w:r>
    </w:p>
    <w:p w14:paraId="6F177D3B" w14:textId="77777777" w:rsidR="00DD012E" w:rsidRDefault="00DD012E" w:rsidP="00DD012E">
      <w:pPr>
        <w:jc w:val="center"/>
        <w:rPr>
          <w:i/>
          <w:color w:val="000000" w:themeColor="text1"/>
          <w:sz w:val="32"/>
          <w:szCs w:val="32"/>
        </w:rPr>
      </w:pPr>
    </w:p>
    <w:p w14:paraId="732C2DAD" w14:textId="77777777" w:rsidR="003D18E7" w:rsidRPr="00D52FE3" w:rsidRDefault="00D52FE3" w:rsidP="00DD012E">
      <w:pPr>
        <w:jc w:val="center"/>
        <w:rPr>
          <w:i/>
          <w:color w:val="000000" w:themeColor="text1"/>
          <w:sz w:val="32"/>
          <w:szCs w:val="32"/>
          <w:u w:val="single"/>
        </w:rPr>
      </w:pPr>
      <w:r w:rsidRPr="00D52FE3">
        <w:rPr>
          <w:i/>
          <w:color w:val="000000" w:themeColor="text1"/>
          <w:sz w:val="32"/>
          <w:szCs w:val="32"/>
          <w:u w:val="single"/>
        </w:rPr>
        <w:t>DOKUMENTACE PRO VÝBĚR DODAVATELE STAVBY</w:t>
      </w:r>
    </w:p>
    <w:p w14:paraId="00E13FC3" w14:textId="77777777" w:rsidR="003D18E7" w:rsidRDefault="003D18E7" w:rsidP="00DD012E">
      <w:pPr>
        <w:jc w:val="center"/>
        <w:rPr>
          <w:i/>
          <w:color w:val="000000" w:themeColor="text1"/>
          <w:sz w:val="32"/>
          <w:szCs w:val="32"/>
        </w:rPr>
      </w:pPr>
    </w:p>
    <w:p w14:paraId="5C57BD55" w14:textId="77777777" w:rsidR="007162AD" w:rsidRDefault="007162AD" w:rsidP="00DD012E">
      <w:pPr>
        <w:jc w:val="center"/>
        <w:rPr>
          <w:i/>
          <w:color w:val="000000" w:themeColor="text1"/>
          <w:sz w:val="32"/>
          <w:szCs w:val="32"/>
        </w:rPr>
      </w:pPr>
    </w:p>
    <w:p w14:paraId="2D074723" w14:textId="77777777" w:rsidR="007162AD" w:rsidRDefault="007162AD" w:rsidP="00B0236E"/>
    <w:p w14:paraId="0B40E62E" w14:textId="77777777" w:rsidR="00B0236E" w:rsidRDefault="00B0236E" w:rsidP="00B0236E"/>
    <w:p w14:paraId="53CB2BBB" w14:textId="77777777" w:rsidR="00B0236E" w:rsidRDefault="00B0236E" w:rsidP="00B0236E"/>
    <w:p w14:paraId="3459878A" w14:textId="77777777" w:rsidR="00F75283" w:rsidRDefault="00F75283" w:rsidP="00B0236E"/>
    <w:p w14:paraId="69B19478" w14:textId="77777777" w:rsidR="00F75283" w:rsidRDefault="00F75283" w:rsidP="00B0236E"/>
    <w:p w14:paraId="5C99A98A" w14:textId="77777777" w:rsidR="00F75283" w:rsidRDefault="00F75283" w:rsidP="00B0236E"/>
    <w:p w14:paraId="0E0A0D32" w14:textId="77777777" w:rsidR="00D52FE3" w:rsidRDefault="00D52FE3" w:rsidP="00B0236E"/>
    <w:p w14:paraId="32A8E685" w14:textId="77777777" w:rsidR="00D52FE3" w:rsidRDefault="00D52FE3" w:rsidP="00B0236E"/>
    <w:p w14:paraId="14A04E5E" w14:textId="77777777" w:rsidR="00D52FE3" w:rsidRDefault="00D52FE3" w:rsidP="00B0236E"/>
    <w:p w14:paraId="64EB1BA7" w14:textId="77777777" w:rsidR="00D52FE3" w:rsidRDefault="00D52FE3" w:rsidP="00B0236E"/>
    <w:p w14:paraId="2A90B5A7" w14:textId="77777777" w:rsidR="00D52FE3" w:rsidRDefault="00D52FE3" w:rsidP="00B0236E"/>
    <w:p w14:paraId="0C95954C" w14:textId="77777777" w:rsidR="00D52FE3" w:rsidRDefault="00D52FE3" w:rsidP="00B0236E"/>
    <w:p w14:paraId="618D3EFA" w14:textId="77777777" w:rsidR="00B0236E" w:rsidRDefault="00B0236E" w:rsidP="00B0236E"/>
    <w:tbl>
      <w:tblPr>
        <w:tblStyle w:val="Mkatabulky"/>
        <w:tblW w:w="0" w:type="auto"/>
        <w:tblLook w:val="04A0" w:firstRow="1" w:lastRow="0" w:firstColumn="1" w:lastColumn="0" w:noHBand="0" w:noVBand="1"/>
      </w:tblPr>
      <w:tblGrid>
        <w:gridCol w:w="3666"/>
        <w:gridCol w:w="4104"/>
        <w:gridCol w:w="1838"/>
      </w:tblGrid>
      <w:tr w:rsidR="007A6E8E" w14:paraId="17D5E217" w14:textId="77777777" w:rsidTr="007A6E8E">
        <w:trPr>
          <w:trHeight w:val="994"/>
        </w:trPr>
        <w:tc>
          <w:tcPr>
            <w:tcW w:w="9608" w:type="dxa"/>
            <w:gridSpan w:val="3"/>
            <w:tcBorders>
              <w:top w:val="double" w:sz="4" w:space="0" w:color="auto"/>
              <w:left w:val="double" w:sz="4" w:space="0" w:color="auto"/>
              <w:bottom w:val="double" w:sz="4" w:space="0" w:color="auto"/>
              <w:right w:val="double" w:sz="4" w:space="0" w:color="auto"/>
            </w:tcBorders>
          </w:tcPr>
          <w:p w14:paraId="02B5E9C5" w14:textId="2344ABE6" w:rsidR="007A6E8E" w:rsidRPr="00A819E6" w:rsidRDefault="001714A3" w:rsidP="00F964D7">
            <w:pPr>
              <w:spacing w:before="60" w:line="440" w:lineRule="exact"/>
              <w:jc w:val="center"/>
              <w:rPr>
                <w:rFonts w:ascii="Calibri Light" w:eastAsia="Microsoft JhengHei" w:hAnsi="Calibri Light" w:cs="Calibri Light"/>
                <w:b/>
                <w:color w:val="39BB05"/>
                <w:sz w:val="44"/>
                <w:szCs w:val="44"/>
              </w:rPr>
            </w:pPr>
            <w:bookmarkStart w:id="1" w:name="_Hlk103665700"/>
            <w:r>
              <w:rPr>
                <w:rFonts w:ascii="Calibri Light" w:eastAsia="Microsoft JhengHei" w:hAnsi="Calibri Light" w:cs="Calibri Light"/>
                <w:b/>
                <w:color w:val="00B050"/>
                <w:sz w:val="36"/>
                <w:szCs w:val="36"/>
              </w:rPr>
              <w:t>Č.P. 536, LÍSKOVEC - STAVEBNÍ ÚPRAVY,</w:t>
            </w:r>
            <w:r w:rsidR="00F964D7">
              <w:rPr>
                <w:rFonts w:ascii="Calibri Light" w:eastAsia="Microsoft JhengHei" w:hAnsi="Calibri Light" w:cs="Calibri Light"/>
                <w:b/>
                <w:color w:val="00B050"/>
                <w:sz w:val="36"/>
                <w:szCs w:val="36"/>
              </w:rPr>
              <w:t> K.Ú LÍSKOVEC U FRÝDKU-M</w:t>
            </w:r>
            <w:r w:rsidR="009553C5">
              <w:rPr>
                <w:rFonts w:ascii="Calibri Light" w:eastAsia="Microsoft JhengHei" w:hAnsi="Calibri Light" w:cs="Calibri Light"/>
                <w:b/>
                <w:color w:val="00B050"/>
                <w:sz w:val="36"/>
                <w:szCs w:val="36"/>
              </w:rPr>
              <w:t>Í</w:t>
            </w:r>
            <w:r w:rsidR="00F964D7">
              <w:rPr>
                <w:rFonts w:ascii="Calibri Light" w:eastAsia="Microsoft JhengHei" w:hAnsi="Calibri Light" w:cs="Calibri Light"/>
                <w:b/>
                <w:color w:val="00B050"/>
                <w:sz w:val="36"/>
                <w:szCs w:val="36"/>
              </w:rPr>
              <w:t xml:space="preserve">STKU </w:t>
            </w:r>
            <w:bookmarkEnd w:id="1"/>
          </w:p>
        </w:tc>
      </w:tr>
      <w:tr w:rsidR="00FB12B1" w14:paraId="1583840B" w14:textId="77777777" w:rsidTr="007A6E8E">
        <w:trPr>
          <w:trHeight w:val="952"/>
        </w:trPr>
        <w:tc>
          <w:tcPr>
            <w:tcW w:w="3666" w:type="dxa"/>
            <w:tcBorders>
              <w:top w:val="double" w:sz="4" w:space="0" w:color="auto"/>
              <w:left w:val="double" w:sz="4" w:space="0" w:color="auto"/>
              <w:bottom w:val="nil"/>
              <w:right w:val="nil"/>
            </w:tcBorders>
          </w:tcPr>
          <w:p w14:paraId="034F56B1" w14:textId="77777777" w:rsidR="00FB12B1" w:rsidRPr="00D41686" w:rsidRDefault="00FB12B1" w:rsidP="00FB12B1">
            <w:pPr>
              <w:spacing w:before="120"/>
              <w:rPr>
                <w:rFonts w:ascii="Microsoft JhengHei" w:eastAsia="Microsoft JhengHei" w:hAnsi="Microsoft JhengHei"/>
                <w:b/>
                <w:sz w:val="28"/>
                <w:szCs w:val="28"/>
              </w:rPr>
            </w:pPr>
            <w:r w:rsidRPr="00D41686">
              <w:rPr>
                <w:rFonts w:ascii="Microsoft JhengHei" w:eastAsia="Microsoft JhengHei" w:hAnsi="Microsoft JhengHei" w:cs="ArialMT"/>
                <w:b/>
                <w:color w:val="000000" w:themeColor="text1"/>
                <w:sz w:val="28"/>
                <w:szCs w:val="28"/>
              </w:rPr>
              <w:t>Místo stavby:</w:t>
            </w:r>
          </w:p>
        </w:tc>
        <w:tc>
          <w:tcPr>
            <w:tcW w:w="5942" w:type="dxa"/>
            <w:gridSpan w:val="2"/>
            <w:tcBorders>
              <w:top w:val="double" w:sz="4" w:space="0" w:color="auto"/>
              <w:left w:val="nil"/>
              <w:bottom w:val="nil"/>
              <w:right w:val="double" w:sz="4" w:space="0" w:color="auto"/>
            </w:tcBorders>
          </w:tcPr>
          <w:p w14:paraId="15BD6F9D" w14:textId="77777777" w:rsidR="00F964D7" w:rsidRDefault="00F964D7" w:rsidP="00F964D7">
            <w:pPr>
              <w:spacing w:before="120" w:line="250" w:lineRule="auto"/>
              <w:rPr>
                <w:rFonts w:ascii="Calibri Light" w:eastAsia="Microsoft JhengHei" w:hAnsi="Calibri Light"/>
                <w:sz w:val="28"/>
                <w:szCs w:val="28"/>
              </w:rPr>
            </w:pPr>
            <w:bookmarkStart w:id="2" w:name="_Hlk103665775"/>
            <w:r>
              <w:rPr>
                <w:rFonts w:ascii="Calibri Light" w:eastAsia="Microsoft JhengHei" w:hAnsi="Calibri Light"/>
                <w:sz w:val="28"/>
                <w:szCs w:val="28"/>
              </w:rPr>
              <w:t>Lískovec 536</w:t>
            </w:r>
            <w:r w:rsidR="00D52FE3">
              <w:rPr>
                <w:rFonts w:ascii="Calibri Light" w:eastAsia="Microsoft JhengHei" w:hAnsi="Calibri Light"/>
                <w:sz w:val="28"/>
                <w:szCs w:val="28"/>
              </w:rPr>
              <w:t xml:space="preserve"> </w:t>
            </w:r>
          </w:p>
          <w:p w14:paraId="1F6F8D11" w14:textId="77777777" w:rsidR="00FB12B1" w:rsidRPr="008A0551" w:rsidRDefault="00F964D7" w:rsidP="00F964D7">
            <w:pPr>
              <w:spacing w:before="120" w:line="250" w:lineRule="auto"/>
              <w:rPr>
                <w:rFonts w:ascii="Calibri Light" w:eastAsia="Microsoft JhengHei" w:hAnsi="Calibri Light"/>
                <w:sz w:val="28"/>
                <w:szCs w:val="28"/>
              </w:rPr>
            </w:pPr>
            <w:r>
              <w:rPr>
                <w:rFonts w:ascii="Calibri Light" w:eastAsia="Microsoft JhengHei" w:hAnsi="Calibri Light"/>
                <w:sz w:val="28"/>
                <w:szCs w:val="28"/>
              </w:rPr>
              <w:t>738 01 Frýdek-</w:t>
            </w:r>
            <w:r w:rsidR="00897A1F">
              <w:rPr>
                <w:rFonts w:ascii="Calibri Light" w:eastAsia="Microsoft JhengHei" w:hAnsi="Calibri Light"/>
                <w:sz w:val="28"/>
                <w:szCs w:val="28"/>
              </w:rPr>
              <w:t>Místek – Lískovec</w:t>
            </w:r>
            <w:r>
              <w:rPr>
                <w:rFonts w:ascii="Calibri Light" w:eastAsia="Microsoft JhengHei" w:hAnsi="Calibri Light"/>
                <w:sz w:val="28"/>
                <w:szCs w:val="28"/>
              </w:rPr>
              <w:t xml:space="preserve"> </w:t>
            </w:r>
            <w:r w:rsidR="00D52FE3">
              <w:rPr>
                <w:rFonts w:ascii="Calibri Light" w:eastAsia="Microsoft JhengHei" w:hAnsi="Calibri Light"/>
                <w:sz w:val="28"/>
                <w:szCs w:val="28"/>
              </w:rPr>
              <w:t xml:space="preserve"> </w:t>
            </w:r>
            <w:r w:rsidR="00FB12B1">
              <w:rPr>
                <w:rFonts w:ascii="Calibri Light" w:eastAsia="Microsoft JhengHei" w:hAnsi="Calibri Light"/>
                <w:sz w:val="28"/>
                <w:szCs w:val="28"/>
              </w:rPr>
              <w:t xml:space="preserve"> </w:t>
            </w:r>
            <w:bookmarkEnd w:id="2"/>
          </w:p>
        </w:tc>
      </w:tr>
      <w:tr w:rsidR="00FB12B1" w14:paraId="282D6F48" w14:textId="77777777" w:rsidTr="007A6E8E">
        <w:trPr>
          <w:trHeight w:val="343"/>
        </w:trPr>
        <w:tc>
          <w:tcPr>
            <w:tcW w:w="3666" w:type="dxa"/>
            <w:tcBorders>
              <w:top w:val="nil"/>
              <w:left w:val="double" w:sz="4" w:space="0" w:color="auto"/>
              <w:bottom w:val="nil"/>
              <w:right w:val="nil"/>
            </w:tcBorders>
          </w:tcPr>
          <w:p w14:paraId="716D5CAE" w14:textId="77777777" w:rsidR="00FB12B1" w:rsidRPr="00D41686" w:rsidRDefault="00FB12B1" w:rsidP="00FB12B1">
            <w:pPr>
              <w:spacing w:before="120"/>
              <w:rPr>
                <w:rFonts w:ascii="Microsoft JhengHei" w:eastAsia="Microsoft JhengHei" w:hAnsi="Microsoft JhengHei"/>
                <w:b/>
                <w:sz w:val="28"/>
                <w:szCs w:val="28"/>
              </w:rPr>
            </w:pPr>
            <w:r w:rsidRPr="00D41686">
              <w:rPr>
                <w:rFonts w:ascii="Microsoft JhengHei" w:eastAsia="Microsoft JhengHei" w:hAnsi="Microsoft JhengHei" w:cs="ArialMT"/>
                <w:b/>
                <w:color w:val="000000" w:themeColor="text1"/>
                <w:sz w:val="28"/>
                <w:szCs w:val="28"/>
              </w:rPr>
              <w:t>Investor:</w:t>
            </w:r>
          </w:p>
        </w:tc>
        <w:tc>
          <w:tcPr>
            <w:tcW w:w="5942" w:type="dxa"/>
            <w:gridSpan w:val="2"/>
            <w:tcBorders>
              <w:top w:val="nil"/>
              <w:left w:val="nil"/>
              <w:bottom w:val="nil"/>
              <w:right w:val="double" w:sz="4" w:space="0" w:color="auto"/>
            </w:tcBorders>
          </w:tcPr>
          <w:p w14:paraId="0B897261" w14:textId="77777777" w:rsidR="00D52FE3" w:rsidRPr="00D52FE3" w:rsidRDefault="00D52FE3" w:rsidP="00D52FE3">
            <w:pPr>
              <w:spacing w:line="250" w:lineRule="auto"/>
              <w:rPr>
                <w:rFonts w:ascii="Calibri Light" w:eastAsia="Microsoft JhengHei" w:hAnsi="Calibri Light"/>
                <w:b/>
                <w:sz w:val="28"/>
                <w:szCs w:val="28"/>
              </w:rPr>
            </w:pPr>
            <w:r w:rsidRPr="00D52FE3">
              <w:rPr>
                <w:rFonts w:ascii="Calibri Light" w:eastAsia="Microsoft JhengHei" w:hAnsi="Calibri Light"/>
                <w:b/>
                <w:sz w:val="28"/>
                <w:szCs w:val="28"/>
              </w:rPr>
              <w:t xml:space="preserve">Statutární Město </w:t>
            </w:r>
            <w:r w:rsidR="00F964D7">
              <w:rPr>
                <w:rFonts w:ascii="Calibri Light" w:eastAsia="Microsoft JhengHei" w:hAnsi="Calibri Light"/>
                <w:b/>
                <w:sz w:val="28"/>
                <w:szCs w:val="28"/>
              </w:rPr>
              <w:t>Frýdek-Místek</w:t>
            </w:r>
            <w:r w:rsidRPr="00D52FE3">
              <w:rPr>
                <w:rFonts w:ascii="Calibri Light" w:eastAsia="Microsoft JhengHei" w:hAnsi="Calibri Light"/>
                <w:b/>
                <w:sz w:val="28"/>
                <w:szCs w:val="28"/>
              </w:rPr>
              <w:t xml:space="preserve">, </w:t>
            </w:r>
          </w:p>
          <w:p w14:paraId="32F5ADC2" w14:textId="77777777" w:rsidR="00D52FE3" w:rsidRPr="00D52FE3" w:rsidRDefault="00F964D7" w:rsidP="00D52FE3">
            <w:pPr>
              <w:spacing w:line="250" w:lineRule="auto"/>
              <w:rPr>
                <w:rFonts w:ascii="Calibri Light" w:eastAsia="Microsoft JhengHei" w:hAnsi="Calibri Light"/>
                <w:bCs/>
                <w:sz w:val="28"/>
                <w:szCs w:val="28"/>
              </w:rPr>
            </w:pPr>
            <w:r>
              <w:rPr>
                <w:rFonts w:ascii="Calibri Light" w:eastAsia="Microsoft JhengHei" w:hAnsi="Calibri Light"/>
                <w:bCs/>
                <w:sz w:val="28"/>
                <w:szCs w:val="28"/>
              </w:rPr>
              <w:t>Radniční 1148</w:t>
            </w:r>
          </w:p>
          <w:p w14:paraId="1617C000" w14:textId="77777777" w:rsidR="00FB12B1" w:rsidRPr="00A819E6" w:rsidRDefault="00F964D7" w:rsidP="00D52FE3">
            <w:pPr>
              <w:spacing w:after="120" w:line="250" w:lineRule="auto"/>
              <w:rPr>
                <w:rFonts w:ascii="Calibri Light" w:eastAsia="Microsoft JhengHei" w:hAnsi="Calibri Light"/>
                <w:sz w:val="28"/>
                <w:szCs w:val="28"/>
              </w:rPr>
            </w:pPr>
            <w:r>
              <w:rPr>
                <w:rFonts w:ascii="Calibri Light" w:eastAsia="Microsoft JhengHei" w:hAnsi="Calibri Light"/>
                <w:bCs/>
                <w:sz w:val="28"/>
                <w:szCs w:val="28"/>
              </w:rPr>
              <w:t xml:space="preserve">738 01 Frýdek-Místek </w:t>
            </w:r>
            <w:r w:rsidR="00D52FE3" w:rsidRPr="00D52FE3">
              <w:rPr>
                <w:rFonts w:ascii="Calibri Light" w:eastAsia="Microsoft JhengHei" w:hAnsi="Calibri Light"/>
                <w:b/>
                <w:sz w:val="28"/>
                <w:szCs w:val="28"/>
              </w:rPr>
              <w:t xml:space="preserve">  </w:t>
            </w:r>
          </w:p>
        </w:tc>
      </w:tr>
      <w:tr w:rsidR="00FB12B1" w14:paraId="5FF96E81" w14:textId="77777777" w:rsidTr="007A6E8E">
        <w:tc>
          <w:tcPr>
            <w:tcW w:w="3666" w:type="dxa"/>
            <w:tcBorders>
              <w:top w:val="nil"/>
              <w:left w:val="double" w:sz="4" w:space="0" w:color="auto"/>
              <w:bottom w:val="double" w:sz="4" w:space="0" w:color="auto"/>
              <w:right w:val="nil"/>
            </w:tcBorders>
          </w:tcPr>
          <w:p w14:paraId="7212E83B" w14:textId="77777777" w:rsidR="00FB12B1" w:rsidRPr="00D41686" w:rsidRDefault="00FB12B1" w:rsidP="00FB12B1">
            <w:pPr>
              <w:spacing w:before="120" w:after="120"/>
              <w:rPr>
                <w:rFonts w:ascii="Microsoft JhengHei" w:eastAsia="Microsoft JhengHei" w:hAnsi="Microsoft JhengHei"/>
                <w:b/>
                <w:sz w:val="28"/>
                <w:szCs w:val="28"/>
              </w:rPr>
            </w:pPr>
            <w:r w:rsidRPr="00D41686">
              <w:rPr>
                <w:rFonts w:ascii="Microsoft JhengHei" w:eastAsia="Microsoft JhengHei" w:hAnsi="Microsoft JhengHei" w:cs="ArialMT"/>
                <w:b/>
                <w:sz w:val="28"/>
                <w:szCs w:val="28"/>
              </w:rPr>
              <w:t>Datum:</w:t>
            </w:r>
          </w:p>
        </w:tc>
        <w:tc>
          <w:tcPr>
            <w:tcW w:w="4104" w:type="dxa"/>
            <w:tcBorders>
              <w:top w:val="nil"/>
              <w:left w:val="nil"/>
              <w:bottom w:val="double" w:sz="4" w:space="0" w:color="auto"/>
              <w:right w:val="single" w:sz="18" w:space="0" w:color="auto"/>
            </w:tcBorders>
          </w:tcPr>
          <w:p w14:paraId="5A641FC9" w14:textId="77777777" w:rsidR="00FB12B1" w:rsidRPr="008A0551" w:rsidRDefault="00FD44C1" w:rsidP="00FB12B1">
            <w:pPr>
              <w:spacing w:before="120" w:after="120" w:line="250" w:lineRule="auto"/>
              <w:rPr>
                <w:rFonts w:ascii="Calibri Light" w:hAnsi="Calibri Light"/>
                <w:sz w:val="28"/>
                <w:szCs w:val="28"/>
              </w:rPr>
            </w:pPr>
            <w:proofErr w:type="gramStart"/>
            <w:r>
              <w:rPr>
                <w:rFonts w:ascii="Calibri Light" w:hAnsi="Calibri Light" w:cs="ArialMT"/>
                <w:b/>
                <w:sz w:val="28"/>
                <w:szCs w:val="28"/>
              </w:rPr>
              <w:t xml:space="preserve">Červenec </w:t>
            </w:r>
            <w:r w:rsidR="00D52FE3">
              <w:rPr>
                <w:rFonts w:ascii="Calibri Light" w:hAnsi="Calibri Light" w:cs="ArialMT"/>
                <w:b/>
                <w:sz w:val="28"/>
                <w:szCs w:val="28"/>
              </w:rPr>
              <w:t xml:space="preserve"> </w:t>
            </w:r>
            <w:r w:rsidR="00FB12B1">
              <w:rPr>
                <w:rFonts w:ascii="Calibri Light" w:hAnsi="Calibri Light" w:cs="ArialMT"/>
                <w:b/>
                <w:sz w:val="28"/>
                <w:szCs w:val="28"/>
              </w:rPr>
              <w:t>202</w:t>
            </w:r>
            <w:r w:rsidR="00F964D7">
              <w:rPr>
                <w:rFonts w:ascii="Calibri Light" w:hAnsi="Calibri Light" w:cs="ArialMT"/>
                <w:b/>
                <w:sz w:val="28"/>
                <w:szCs w:val="28"/>
              </w:rPr>
              <w:t>2</w:t>
            </w:r>
            <w:proofErr w:type="gramEnd"/>
          </w:p>
        </w:tc>
        <w:tc>
          <w:tcPr>
            <w:tcW w:w="1838" w:type="dxa"/>
            <w:tcBorders>
              <w:top w:val="single" w:sz="12" w:space="0" w:color="auto"/>
              <w:left w:val="single" w:sz="18" w:space="0" w:color="auto"/>
              <w:bottom w:val="single" w:sz="18" w:space="0" w:color="auto"/>
              <w:right w:val="single" w:sz="18" w:space="0" w:color="auto"/>
            </w:tcBorders>
          </w:tcPr>
          <w:p w14:paraId="4E2441B4" w14:textId="77777777" w:rsidR="00FB12B1" w:rsidRPr="008A0551" w:rsidRDefault="00FB12B1" w:rsidP="00FB12B1">
            <w:pPr>
              <w:spacing w:line="250" w:lineRule="auto"/>
              <w:rPr>
                <w:rFonts w:ascii="Calibri Light" w:hAnsi="Calibri Light"/>
                <w:sz w:val="28"/>
                <w:szCs w:val="28"/>
              </w:rPr>
            </w:pPr>
          </w:p>
        </w:tc>
      </w:tr>
    </w:tbl>
    <w:bookmarkStart w:id="3" w:name="_Toc72326915" w:displacedByCustomXml="next"/>
    <w:sdt>
      <w:sdtPr>
        <w:rPr>
          <w:rFonts w:asciiTheme="minorHAnsi" w:hAnsiTheme="minorHAnsi"/>
          <w:b w:val="0"/>
          <w:bCs/>
          <w:sz w:val="24"/>
          <w:szCs w:val="24"/>
        </w:rPr>
        <w:id w:val="92373730"/>
        <w:docPartObj>
          <w:docPartGallery w:val="Table of Contents"/>
          <w:docPartUnique/>
        </w:docPartObj>
      </w:sdtPr>
      <w:sdtEndPr>
        <w:rPr>
          <w:bCs w:val="0"/>
          <w:sz w:val="22"/>
        </w:rPr>
      </w:sdtEndPr>
      <w:sdtContent>
        <w:p w14:paraId="7F113C14" w14:textId="77777777" w:rsidR="00AE038B" w:rsidRPr="00A871E5" w:rsidRDefault="00AE038B" w:rsidP="00006DDD">
          <w:pPr>
            <w:pStyle w:val="Nadpis1"/>
            <w:numPr>
              <w:ilvl w:val="0"/>
              <w:numId w:val="0"/>
            </w:numPr>
          </w:pPr>
          <w:r w:rsidRPr="00A871E5">
            <w:t>Obsah</w:t>
          </w:r>
          <w:bookmarkEnd w:id="3"/>
        </w:p>
        <w:p w14:paraId="533AB6B6" w14:textId="77777777" w:rsidR="00D5491B" w:rsidRDefault="00AE038B">
          <w:pPr>
            <w:pStyle w:val="Obsah1"/>
            <w:rPr>
              <w:rFonts w:cstheme="minorBidi"/>
              <w:b w:val="0"/>
              <w:bCs w:val="0"/>
              <w:caps w:val="0"/>
              <w:noProof/>
              <w:sz w:val="22"/>
              <w:szCs w:val="22"/>
            </w:rPr>
          </w:pPr>
          <w:r>
            <w:fldChar w:fldCharType="begin"/>
          </w:r>
          <w:r>
            <w:instrText xml:space="preserve"> TOC \o "1-3" \h \z \u </w:instrText>
          </w:r>
          <w:r>
            <w:fldChar w:fldCharType="separate"/>
          </w:r>
          <w:hyperlink w:anchor="_Toc72326915" w:history="1">
            <w:r w:rsidR="00D5491B" w:rsidRPr="00347B93">
              <w:rPr>
                <w:rStyle w:val="Hypertextovodkaz"/>
                <w:noProof/>
              </w:rPr>
              <w:t>Obsah</w:t>
            </w:r>
            <w:r w:rsidR="00D5491B">
              <w:rPr>
                <w:noProof/>
                <w:webHidden/>
              </w:rPr>
              <w:tab/>
            </w:r>
            <w:r w:rsidR="00D5491B">
              <w:rPr>
                <w:noProof/>
                <w:webHidden/>
              </w:rPr>
              <w:fldChar w:fldCharType="begin"/>
            </w:r>
            <w:r w:rsidR="00D5491B">
              <w:rPr>
                <w:noProof/>
                <w:webHidden/>
              </w:rPr>
              <w:instrText xml:space="preserve"> PAGEREF _Toc72326915 \h </w:instrText>
            </w:r>
            <w:r w:rsidR="00D5491B">
              <w:rPr>
                <w:noProof/>
                <w:webHidden/>
              </w:rPr>
            </w:r>
            <w:r w:rsidR="00D5491B">
              <w:rPr>
                <w:noProof/>
                <w:webHidden/>
              </w:rPr>
              <w:fldChar w:fldCharType="separate"/>
            </w:r>
            <w:r w:rsidR="00467E25">
              <w:rPr>
                <w:noProof/>
                <w:webHidden/>
              </w:rPr>
              <w:t>2</w:t>
            </w:r>
            <w:r w:rsidR="00D5491B">
              <w:rPr>
                <w:noProof/>
                <w:webHidden/>
              </w:rPr>
              <w:fldChar w:fldCharType="end"/>
            </w:r>
          </w:hyperlink>
        </w:p>
        <w:p w14:paraId="0E80503E" w14:textId="77777777" w:rsidR="00D5491B" w:rsidRDefault="002A00D5">
          <w:pPr>
            <w:pStyle w:val="Obsah1"/>
            <w:rPr>
              <w:rFonts w:cstheme="minorBidi"/>
              <w:b w:val="0"/>
              <w:bCs w:val="0"/>
              <w:caps w:val="0"/>
              <w:noProof/>
              <w:sz w:val="22"/>
              <w:szCs w:val="22"/>
            </w:rPr>
          </w:pPr>
          <w:hyperlink w:anchor="_Toc72326916" w:history="1">
            <w:r w:rsidR="00D5491B" w:rsidRPr="00347B93">
              <w:rPr>
                <w:rStyle w:val="Hypertextovodkaz"/>
                <w:noProof/>
              </w:rPr>
              <w:t>1.</w:t>
            </w:r>
            <w:r w:rsidR="00D5491B">
              <w:rPr>
                <w:rFonts w:cstheme="minorBidi"/>
                <w:b w:val="0"/>
                <w:bCs w:val="0"/>
                <w:caps w:val="0"/>
                <w:noProof/>
                <w:sz w:val="22"/>
                <w:szCs w:val="22"/>
              </w:rPr>
              <w:tab/>
            </w:r>
            <w:r w:rsidR="00D5491B" w:rsidRPr="00347B93">
              <w:rPr>
                <w:rStyle w:val="Hypertextovodkaz"/>
                <w:noProof/>
              </w:rPr>
              <w:t>Základní údaje</w:t>
            </w:r>
            <w:r w:rsidR="00D5491B">
              <w:rPr>
                <w:noProof/>
                <w:webHidden/>
              </w:rPr>
              <w:tab/>
            </w:r>
            <w:r w:rsidR="00D5491B">
              <w:rPr>
                <w:noProof/>
                <w:webHidden/>
              </w:rPr>
              <w:fldChar w:fldCharType="begin"/>
            </w:r>
            <w:r w:rsidR="00D5491B">
              <w:rPr>
                <w:noProof/>
                <w:webHidden/>
              </w:rPr>
              <w:instrText xml:space="preserve"> PAGEREF _Toc72326916 \h </w:instrText>
            </w:r>
            <w:r w:rsidR="00D5491B">
              <w:rPr>
                <w:noProof/>
                <w:webHidden/>
              </w:rPr>
            </w:r>
            <w:r w:rsidR="00D5491B">
              <w:rPr>
                <w:noProof/>
                <w:webHidden/>
              </w:rPr>
              <w:fldChar w:fldCharType="separate"/>
            </w:r>
            <w:r w:rsidR="00467E25">
              <w:rPr>
                <w:noProof/>
                <w:webHidden/>
              </w:rPr>
              <w:t>3</w:t>
            </w:r>
            <w:r w:rsidR="00D5491B">
              <w:rPr>
                <w:noProof/>
                <w:webHidden/>
              </w:rPr>
              <w:fldChar w:fldCharType="end"/>
            </w:r>
          </w:hyperlink>
        </w:p>
        <w:p w14:paraId="6B93121E" w14:textId="320C6B9D" w:rsidR="00D5491B" w:rsidRDefault="002A00D5">
          <w:pPr>
            <w:pStyle w:val="Obsah3"/>
            <w:tabs>
              <w:tab w:val="left" w:pos="960"/>
              <w:tab w:val="right" w:leader="dot" w:pos="9629"/>
            </w:tabs>
            <w:rPr>
              <w:rFonts w:cstheme="minorBidi"/>
              <w:i w:val="0"/>
              <w:iCs w:val="0"/>
              <w:noProof/>
              <w:sz w:val="22"/>
              <w:szCs w:val="22"/>
            </w:rPr>
          </w:pPr>
          <w:hyperlink w:anchor="_Toc72326917" w:history="1">
            <w:r w:rsidR="00D5491B" w:rsidRPr="00347B93">
              <w:rPr>
                <w:rStyle w:val="Hypertextovodkaz"/>
                <w:noProof/>
              </w:rPr>
              <w:t>a)</w:t>
            </w:r>
            <w:r w:rsidR="00D5491B">
              <w:rPr>
                <w:rFonts w:cstheme="minorBidi"/>
                <w:i w:val="0"/>
                <w:iCs w:val="0"/>
                <w:noProof/>
                <w:sz w:val="22"/>
                <w:szCs w:val="22"/>
              </w:rPr>
              <w:tab/>
            </w:r>
            <w:r w:rsidR="00380E71">
              <w:rPr>
                <w:rStyle w:val="Hypertextovodkaz"/>
                <w:noProof/>
              </w:rPr>
              <w:t>A</w:t>
            </w:r>
            <w:r w:rsidR="00D5491B" w:rsidRPr="00347B93">
              <w:rPr>
                <w:rStyle w:val="Hypertextovodkaz"/>
                <w:noProof/>
              </w:rPr>
              <w:t>rchitektonické, výtvarné, materiálové, dispoziční a provozní řešení, bezbariérové užívání stavby;</w:t>
            </w:r>
            <w:r w:rsidR="00D5491B">
              <w:rPr>
                <w:noProof/>
                <w:webHidden/>
              </w:rPr>
              <w:tab/>
            </w:r>
            <w:r w:rsidR="00D5491B">
              <w:rPr>
                <w:noProof/>
                <w:webHidden/>
              </w:rPr>
              <w:fldChar w:fldCharType="begin"/>
            </w:r>
            <w:r w:rsidR="00D5491B">
              <w:rPr>
                <w:noProof/>
                <w:webHidden/>
              </w:rPr>
              <w:instrText xml:space="preserve"> PAGEREF _Toc72326917 \h </w:instrText>
            </w:r>
            <w:r w:rsidR="00D5491B">
              <w:rPr>
                <w:noProof/>
                <w:webHidden/>
              </w:rPr>
            </w:r>
            <w:r w:rsidR="00D5491B">
              <w:rPr>
                <w:noProof/>
                <w:webHidden/>
              </w:rPr>
              <w:fldChar w:fldCharType="separate"/>
            </w:r>
            <w:r w:rsidR="00467E25">
              <w:rPr>
                <w:noProof/>
                <w:webHidden/>
              </w:rPr>
              <w:t>3</w:t>
            </w:r>
            <w:r w:rsidR="00D5491B">
              <w:rPr>
                <w:noProof/>
                <w:webHidden/>
              </w:rPr>
              <w:fldChar w:fldCharType="end"/>
            </w:r>
          </w:hyperlink>
        </w:p>
        <w:p w14:paraId="042B0090" w14:textId="6ABEF472" w:rsidR="00D5491B" w:rsidRDefault="002A00D5">
          <w:pPr>
            <w:pStyle w:val="Obsah3"/>
            <w:tabs>
              <w:tab w:val="left" w:pos="960"/>
              <w:tab w:val="right" w:leader="dot" w:pos="9629"/>
            </w:tabs>
            <w:rPr>
              <w:rFonts w:cstheme="minorBidi"/>
              <w:i w:val="0"/>
              <w:iCs w:val="0"/>
              <w:noProof/>
              <w:sz w:val="22"/>
              <w:szCs w:val="22"/>
            </w:rPr>
          </w:pPr>
          <w:hyperlink w:anchor="_Toc72326918" w:history="1">
            <w:r w:rsidR="00D5491B" w:rsidRPr="00347B93">
              <w:rPr>
                <w:rStyle w:val="Hypertextovodkaz"/>
                <w:noProof/>
              </w:rPr>
              <w:t>b)</w:t>
            </w:r>
            <w:r w:rsidR="00D5491B">
              <w:rPr>
                <w:rFonts w:cstheme="minorBidi"/>
                <w:i w:val="0"/>
                <w:iCs w:val="0"/>
                <w:noProof/>
                <w:sz w:val="22"/>
                <w:szCs w:val="22"/>
              </w:rPr>
              <w:tab/>
            </w:r>
            <w:r w:rsidR="00380E71">
              <w:rPr>
                <w:rFonts w:cstheme="minorBidi"/>
                <w:i w:val="0"/>
                <w:iCs w:val="0"/>
                <w:noProof/>
                <w:sz w:val="22"/>
                <w:szCs w:val="22"/>
              </w:rPr>
              <w:t>M</w:t>
            </w:r>
            <w:r w:rsidR="00D5491B" w:rsidRPr="00347B93">
              <w:rPr>
                <w:rStyle w:val="Hypertextovodkaz"/>
                <w:noProof/>
              </w:rPr>
              <w:t>ateriálové řešení</w:t>
            </w:r>
            <w:r w:rsidR="00D5491B">
              <w:rPr>
                <w:noProof/>
                <w:webHidden/>
              </w:rPr>
              <w:tab/>
            </w:r>
            <w:r w:rsidR="00D5491B">
              <w:rPr>
                <w:noProof/>
                <w:webHidden/>
              </w:rPr>
              <w:fldChar w:fldCharType="begin"/>
            </w:r>
            <w:r w:rsidR="00D5491B">
              <w:rPr>
                <w:noProof/>
                <w:webHidden/>
              </w:rPr>
              <w:instrText xml:space="preserve"> PAGEREF _Toc72326918 \h </w:instrText>
            </w:r>
            <w:r w:rsidR="00D5491B">
              <w:rPr>
                <w:noProof/>
                <w:webHidden/>
              </w:rPr>
            </w:r>
            <w:r w:rsidR="00D5491B">
              <w:rPr>
                <w:noProof/>
                <w:webHidden/>
              </w:rPr>
              <w:fldChar w:fldCharType="separate"/>
            </w:r>
            <w:r w:rsidR="00467E25">
              <w:rPr>
                <w:noProof/>
                <w:webHidden/>
              </w:rPr>
              <w:t>3</w:t>
            </w:r>
            <w:r w:rsidR="00D5491B">
              <w:rPr>
                <w:noProof/>
                <w:webHidden/>
              </w:rPr>
              <w:fldChar w:fldCharType="end"/>
            </w:r>
          </w:hyperlink>
        </w:p>
        <w:p w14:paraId="00C14AF0" w14:textId="77777777" w:rsidR="00D5491B" w:rsidRDefault="002A00D5">
          <w:pPr>
            <w:pStyle w:val="Obsah3"/>
            <w:tabs>
              <w:tab w:val="left" w:pos="960"/>
              <w:tab w:val="right" w:leader="dot" w:pos="9629"/>
            </w:tabs>
            <w:rPr>
              <w:rFonts w:cstheme="minorBidi"/>
              <w:i w:val="0"/>
              <w:iCs w:val="0"/>
              <w:noProof/>
              <w:sz w:val="22"/>
              <w:szCs w:val="22"/>
            </w:rPr>
          </w:pPr>
          <w:hyperlink w:anchor="_Toc72326919" w:history="1">
            <w:r w:rsidR="00D5491B" w:rsidRPr="00347B93">
              <w:rPr>
                <w:rStyle w:val="Hypertextovodkaz"/>
                <w:rFonts w:eastAsiaTheme="minorHAnsi"/>
                <w:noProof/>
              </w:rPr>
              <w:t>c)</w:t>
            </w:r>
            <w:r w:rsidR="00D5491B">
              <w:rPr>
                <w:rFonts w:cstheme="minorBidi"/>
                <w:i w:val="0"/>
                <w:iCs w:val="0"/>
                <w:noProof/>
                <w:sz w:val="22"/>
                <w:szCs w:val="22"/>
              </w:rPr>
              <w:tab/>
            </w:r>
            <w:r w:rsidR="00D5491B" w:rsidRPr="00347B93">
              <w:rPr>
                <w:rStyle w:val="Hypertextovodkaz"/>
                <w:noProof/>
              </w:rPr>
              <w:t>Bezbariérové užívání stavby</w:t>
            </w:r>
            <w:r w:rsidR="00D5491B">
              <w:rPr>
                <w:noProof/>
                <w:webHidden/>
              </w:rPr>
              <w:tab/>
            </w:r>
            <w:r w:rsidR="00D5491B">
              <w:rPr>
                <w:noProof/>
                <w:webHidden/>
              </w:rPr>
              <w:fldChar w:fldCharType="begin"/>
            </w:r>
            <w:r w:rsidR="00D5491B">
              <w:rPr>
                <w:noProof/>
                <w:webHidden/>
              </w:rPr>
              <w:instrText xml:space="preserve"> PAGEREF _Toc72326919 \h </w:instrText>
            </w:r>
            <w:r w:rsidR="00D5491B">
              <w:rPr>
                <w:noProof/>
                <w:webHidden/>
              </w:rPr>
            </w:r>
            <w:r w:rsidR="00D5491B">
              <w:rPr>
                <w:noProof/>
                <w:webHidden/>
              </w:rPr>
              <w:fldChar w:fldCharType="separate"/>
            </w:r>
            <w:r w:rsidR="00467E25">
              <w:rPr>
                <w:noProof/>
                <w:webHidden/>
              </w:rPr>
              <w:t>3</w:t>
            </w:r>
            <w:r w:rsidR="00D5491B">
              <w:rPr>
                <w:noProof/>
                <w:webHidden/>
              </w:rPr>
              <w:fldChar w:fldCharType="end"/>
            </w:r>
          </w:hyperlink>
        </w:p>
        <w:p w14:paraId="12649CA0" w14:textId="77777777" w:rsidR="00D5491B" w:rsidRDefault="002A00D5">
          <w:pPr>
            <w:pStyle w:val="Obsah3"/>
            <w:tabs>
              <w:tab w:val="left" w:pos="960"/>
              <w:tab w:val="right" w:leader="dot" w:pos="9629"/>
            </w:tabs>
            <w:rPr>
              <w:rFonts w:cstheme="minorBidi"/>
              <w:i w:val="0"/>
              <w:iCs w:val="0"/>
              <w:noProof/>
              <w:sz w:val="22"/>
              <w:szCs w:val="22"/>
            </w:rPr>
          </w:pPr>
          <w:hyperlink w:anchor="_Toc72326920" w:history="1">
            <w:r w:rsidR="00D5491B" w:rsidRPr="00347B93">
              <w:rPr>
                <w:rStyle w:val="Hypertextovodkaz"/>
                <w:rFonts w:eastAsiaTheme="minorHAnsi"/>
                <w:noProof/>
              </w:rPr>
              <w:t>d)</w:t>
            </w:r>
            <w:r w:rsidR="00D5491B">
              <w:rPr>
                <w:rFonts w:cstheme="minorBidi"/>
                <w:i w:val="0"/>
                <w:iCs w:val="0"/>
                <w:noProof/>
                <w:sz w:val="22"/>
                <w:szCs w:val="22"/>
              </w:rPr>
              <w:tab/>
            </w:r>
            <w:r w:rsidR="00D5491B" w:rsidRPr="00347B93">
              <w:rPr>
                <w:rStyle w:val="Hypertextovodkaz"/>
                <w:noProof/>
              </w:rPr>
              <w:t>Urbanistické řešení</w:t>
            </w:r>
            <w:r w:rsidR="00D5491B">
              <w:rPr>
                <w:noProof/>
                <w:webHidden/>
              </w:rPr>
              <w:tab/>
            </w:r>
            <w:r w:rsidR="00D5491B">
              <w:rPr>
                <w:noProof/>
                <w:webHidden/>
              </w:rPr>
              <w:fldChar w:fldCharType="begin"/>
            </w:r>
            <w:r w:rsidR="00D5491B">
              <w:rPr>
                <w:noProof/>
                <w:webHidden/>
              </w:rPr>
              <w:instrText xml:space="preserve"> PAGEREF _Toc72326920 \h </w:instrText>
            </w:r>
            <w:r w:rsidR="00D5491B">
              <w:rPr>
                <w:noProof/>
                <w:webHidden/>
              </w:rPr>
            </w:r>
            <w:r w:rsidR="00D5491B">
              <w:rPr>
                <w:noProof/>
                <w:webHidden/>
              </w:rPr>
              <w:fldChar w:fldCharType="separate"/>
            </w:r>
            <w:r w:rsidR="00467E25">
              <w:rPr>
                <w:noProof/>
                <w:webHidden/>
              </w:rPr>
              <w:t>3</w:t>
            </w:r>
            <w:r w:rsidR="00D5491B">
              <w:rPr>
                <w:noProof/>
                <w:webHidden/>
              </w:rPr>
              <w:fldChar w:fldCharType="end"/>
            </w:r>
          </w:hyperlink>
        </w:p>
        <w:p w14:paraId="38D96BE3" w14:textId="77777777" w:rsidR="00D5491B" w:rsidRDefault="002A00D5">
          <w:pPr>
            <w:pStyle w:val="Obsah3"/>
            <w:tabs>
              <w:tab w:val="left" w:pos="960"/>
              <w:tab w:val="right" w:leader="dot" w:pos="9629"/>
            </w:tabs>
            <w:rPr>
              <w:rFonts w:cstheme="minorBidi"/>
              <w:i w:val="0"/>
              <w:iCs w:val="0"/>
              <w:noProof/>
              <w:sz w:val="22"/>
              <w:szCs w:val="22"/>
            </w:rPr>
          </w:pPr>
          <w:hyperlink w:anchor="_Toc72326921" w:history="1">
            <w:r w:rsidR="00D5491B" w:rsidRPr="00347B93">
              <w:rPr>
                <w:rStyle w:val="Hypertextovodkaz"/>
                <w:noProof/>
              </w:rPr>
              <w:t>e)</w:t>
            </w:r>
            <w:r w:rsidR="00D5491B">
              <w:rPr>
                <w:rFonts w:cstheme="minorBidi"/>
                <w:i w:val="0"/>
                <w:iCs w:val="0"/>
                <w:noProof/>
                <w:sz w:val="22"/>
                <w:szCs w:val="22"/>
              </w:rPr>
              <w:tab/>
            </w:r>
            <w:r w:rsidR="00D5491B" w:rsidRPr="00347B93">
              <w:rPr>
                <w:rStyle w:val="Hypertextovodkaz"/>
                <w:noProof/>
              </w:rPr>
              <w:t>Stavebně technické řešení</w:t>
            </w:r>
            <w:r w:rsidR="00D5491B">
              <w:rPr>
                <w:noProof/>
                <w:webHidden/>
              </w:rPr>
              <w:tab/>
            </w:r>
            <w:r w:rsidR="00D5491B">
              <w:rPr>
                <w:noProof/>
                <w:webHidden/>
              </w:rPr>
              <w:fldChar w:fldCharType="begin"/>
            </w:r>
            <w:r w:rsidR="00D5491B">
              <w:rPr>
                <w:noProof/>
                <w:webHidden/>
              </w:rPr>
              <w:instrText xml:space="preserve"> PAGEREF _Toc72326921 \h </w:instrText>
            </w:r>
            <w:r w:rsidR="00D5491B">
              <w:rPr>
                <w:noProof/>
                <w:webHidden/>
              </w:rPr>
            </w:r>
            <w:r w:rsidR="00D5491B">
              <w:rPr>
                <w:noProof/>
                <w:webHidden/>
              </w:rPr>
              <w:fldChar w:fldCharType="separate"/>
            </w:r>
            <w:r w:rsidR="00467E25">
              <w:rPr>
                <w:noProof/>
                <w:webHidden/>
              </w:rPr>
              <w:t>3</w:t>
            </w:r>
            <w:r w:rsidR="00D5491B">
              <w:rPr>
                <w:noProof/>
                <w:webHidden/>
              </w:rPr>
              <w:fldChar w:fldCharType="end"/>
            </w:r>
          </w:hyperlink>
        </w:p>
        <w:p w14:paraId="080CA691" w14:textId="42AEEF28" w:rsidR="00D5491B" w:rsidRDefault="002A00D5">
          <w:pPr>
            <w:pStyle w:val="Obsah3"/>
            <w:tabs>
              <w:tab w:val="left" w:pos="960"/>
              <w:tab w:val="right" w:leader="dot" w:pos="9629"/>
            </w:tabs>
            <w:rPr>
              <w:rFonts w:cstheme="minorBidi"/>
              <w:i w:val="0"/>
              <w:iCs w:val="0"/>
              <w:noProof/>
              <w:sz w:val="22"/>
              <w:szCs w:val="22"/>
            </w:rPr>
          </w:pPr>
          <w:hyperlink w:anchor="_Toc72326922" w:history="1">
            <w:r w:rsidR="00D5491B" w:rsidRPr="00347B93">
              <w:rPr>
                <w:rStyle w:val="Hypertextovodkaz"/>
                <w:noProof/>
              </w:rPr>
              <w:t>f)</w:t>
            </w:r>
            <w:r w:rsidR="00D5491B">
              <w:rPr>
                <w:rFonts w:cstheme="minorBidi"/>
                <w:i w:val="0"/>
                <w:iCs w:val="0"/>
                <w:noProof/>
                <w:sz w:val="22"/>
                <w:szCs w:val="22"/>
              </w:rPr>
              <w:tab/>
            </w:r>
            <w:r w:rsidR="00380E71">
              <w:rPr>
                <w:rStyle w:val="Hypertextovodkaz"/>
                <w:noProof/>
              </w:rPr>
              <w:t>S</w:t>
            </w:r>
            <w:r w:rsidR="00D5491B" w:rsidRPr="00347B93">
              <w:rPr>
                <w:rStyle w:val="Hypertextovodkaz"/>
                <w:noProof/>
              </w:rPr>
              <w:t>tavební fyzika</w:t>
            </w:r>
            <w:r w:rsidR="00D5491B">
              <w:rPr>
                <w:noProof/>
                <w:webHidden/>
              </w:rPr>
              <w:tab/>
            </w:r>
            <w:r w:rsidR="00D5491B">
              <w:rPr>
                <w:noProof/>
                <w:webHidden/>
              </w:rPr>
              <w:fldChar w:fldCharType="begin"/>
            </w:r>
            <w:r w:rsidR="00D5491B">
              <w:rPr>
                <w:noProof/>
                <w:webHidden/>
              </w:rPr>
              <w:instrText xml:space="preserve"> PAGEREF _Toc72326922 \h </w:instrText>
            </w:r>
            <w:r w:rsidR="00D5491B">
              <w:rPr>
                <w:noProof/>
                <w:webHidden/>
              </w:rPr>
            </w:r>
            <w:r w:rsidR="00D5491B">
              <w:rPr>
                <w:noProof/>
                <w:webHidden/>
              </w:rPr>
              <w:fldChar w:fldCharType="separate"/>
            </w:r>
            <w:r w:rsidR="00467E25">
              <w:rPr>
                <w:noProof/>
                <w:webHidden/>
              </w:rPr>
              <w:t>3</w:t>
            </w:r>
            <w:r w:rsidR="00D5491B">
              <w:rPr>
                <w:noProof/>
                <w:webHidden/>
              </w:rPr>
              <w:fldChar w:fldCharType="end"/>
            </w:r>
          </w:hyperlink>
        </w:p>
        <w:p w14:paraId="685EC238" w14:textId="77777777" w:rsidR="00D5491B" w:rsidRDefault="002A00D5">
          <w:pPr>
            <w:pStyle w:val="Obsah1"/>
            <w:rPr>
              <w:rFonts w:cstheme="minorBidi"/>
              <w:b w:val="0"/>
              <w:bCs w:val="0"/>
              <w:caps w:val="0"/>
              <w:noProof/>
              <w:sz w:val="22"/>
              <w:szCs w:val="22"/>
            </w:rPr>
          </w:pPr>
          <w:hyperlink w:anchor="_Toc72326923" w:history="1">
            <w:r w:rsidR="00D5491B" w:rsidRPr="00347B93">
              <w:rPr>
                <w:rStyle w:val="Hypertextovodkaz"/>
                <w:noProof/>
              </w:rPr>
              <w:t>2.</w:t>
            </w:r>
            <w:r w:rsidR="00D5491B">
              <w:rPr>
                <w:rFonts w:cstheme="minorBidi"/>
                <w:b w:val="0"/>
                <w:bCs w:val="0"/>
                <w:caps w:val="0"/>
                <w:noProof/>
                <w:sz w:val="22"/>
                <w:szCs w:val="22"/>
              </w:rPr>
              <w:tab/>
            </w:r>
            <w:r w:rsidR="00D5491B" w:rsidRPr="00347B93">
              <w:rPr>
                <w:rStyle w:val="Hypertextovodkaz"/>
                <w:noProof/>
              </w:rPr>
              <w:t>Technické a konstrukční řešení</w:t>
            </w:r>
            <w:r w:rsidR="00D5491B">
              <w:rPr>
                <w:noProof/>
                <w:webHidden/>
              </w:rPr>
              <w:tab/>
            </w:r>
            <w:r w:rsidR="00D5491B">
              <w:rPr>
                <w:noProof/>
                <w:webHidden/>
              </w:rPr>
              <w:fldChar w:fldCharType="begin"/>
            </w:r>
            <w:r w:rsidR="00D5491B">
              <w:rPr>
                <w:noProof/>
                <w:webHidden/>
              </w:rPr>
              <w:instrText xml:space="preserve"> PAGEREF _Toc72326923 \h </w:instrText>
            </w:r>
            <w:r w:rsidR="00D5491B">
              <w:rPr>
                <w:noProof/>
                <w:webHidden/>
              </w:rPr>
            </w:r>
            <w:r w:rsidR="00D5491B">
              <w:rPr>
                <w:noProof/>
                <w:webHidden/>
              </w:rPr>
              <w:fldChar w:fldCharType="separate"/>
            </w:r>
            <w:r w:rsidR="00467E25">
              <w:rPr>
                <w:noProof/>
                <w:webHidden/>
              </w:rPr>
              <w:t>4</w:t>
            </w:r>
            <w:r w:rsidR="00D5491B">
              <w:rPr>
                <w:noProof/>
                <w:webHidden/>
              </w:rPr>
              <w:fldChar w:fldCharType="end"/>
            </w:r>
          </w:hyperlink>
        </w:p>
        <w:p w14:paraId="164DCB5E" w14:textId="77777777" w:rsidR="00D5491B" w:rsidRDefault="002A00D5">
          <w:pPr>
            <w:pStyle w:val="Obsah1"/>
            <w:rPr>
              <w:rFonts w:cstheme="minorBidi"/>
              <w:b w:val="0"/>
              <w:bCs w:val="0"/>
              <w:caps w:val="0"/>
              <w:noProof/>
              <w:sz w:val="22"/>
              <w:szCs w:val="22"/>
            </w:rPr>
          </w:pPr>
          <w:hyperlink w:anchor="_Toc72326924" w:history="1">
            <w:r w:rsidR="00D5491B" w:rsidRPr="00347B93">
              <w:rPr>
                <w:rStyle w:val="Hypertextovodkaz"/>
                <w:noProof/>
              </w:rPr>
              <w:t>3.</w:t>
            </w:r>
            <w:r w:rsidR="00D5491B">
              <w:rPr>
                <w:rFonts w:cstheme="minorBidi"/>
                <w:b w:val="0"/>
                <w:bCs w:val="0"/>
                <w:caps w:val="0"/>
                <w:noProof/>
                <w:sz w:val="22"/>
                <w:szCs w:val="22"/>
              </w:rPr>
              <w:tab/>
            </w:r>
            <w:r w:rsidR="00D5491B" w:rsidRPr="00347B93">
              <w:rPr>
                <w:rStyle w:val="Hypertextovodkaz"/>
                <w:noProof/>
              </w:rPr>
              <w:t>Zásady bezpečnosti a ochrany zdraví při práci na staveništi</w:t>
            </w:r>
            <w:r w:rsidR="00D5491B">
              <w:rPr>
                <w:noProof/>
                <w:webHidden/>
              </w:rPr>
              <w:tab/>
            </w:r>
            <w:r w:rsidR="00D5491B">
              <w:rPr>
                <w:noProof/>
                <w:webHidden/>
              </w:rPr>
              <w:fldChar w:fldCharType="begin"/>
            </w:r>
            <w:r w:rsidR="00D5491B">
              <w:rPr>
                <w:noProof/>
                <w:webHidden/>
              </w:rPr>
              <w:instrText xml:space="preserve"> PAGEREF _Toc72326924 \h </w:instrText>
            </w:r>
            <w:r w:rsidR="00D5491B">
              <w:rPr>
                <w:noProof/>
                <w:webHidden/>
              </w:rPr>
            </w:r>
            <w:r w:rsidR="00D5491B">
              <w:rPr>
                <w:noProof/>
                <w:webHidden/>
              </w:rPr>
              <w:fldChar w:fldCharType="separate"/>
            </w:r>
            <w:r w:rsidR="00467E25">
              <w:rPr>
                <w:noProof/>
                <w:webHidden/>
              </w:rPr>
              <w:t>6</w:t>
            </w:r>
            <w:r w:rsidR="00D5491B">
              <w:rPr>
                <w:noProof/>
                <w:webHidden/>
              </w:rPr>
              <w:fldChar w:fldCharType="end"/>
            </w:r>
          </w:hyperlink>
        </w:p>
        <w:p w14:paraId="417F93A4" w14:textId="77777777" w:rsidR="00D5491B" w:rsidRDefault="002A00D5">
          <w:pPr>
            <w:pStyle w:val="Obsah1"/>
            <w:rPr>
              <w:rFonts w:cstheme="minorBidi"/>
              <w:b w:val="0"/>
              <w:bCs w:val="0"/>
              <w:caps w:val="0"/>
              <w:noProof/>
              <w:sz w:val="22"/>
              <w:szCs w:val="22"/>
            </w:rPr>
          </w:pPr>
          <w:hyperlink w:anchor="_Toc72326925" w:history="1">
            <w:r w:rsidR="00D5491B" w:rsidRPr="00347B93">
              <w:rPr>
                <w:rStyle w:val="Hypertextovodkaz"/>
                <w:noProof/>
              </w:rPr>
              <w:t>4.</w:t>
            </w:r>
            <w:r w:rsidR="00D5491B">
              <w:rPr>
                <w:rFonts w:cstheme="minorBidi"/>
                <w:b w:val="0"/>
                <w:bCs w:val="0"/>
                <w:caps w:val="0"/>
                <w:noProof/>
                <w:sz w:val="22"/>
                <w:szCs w:val="22"/>
              </w:rPr>
              <w:tab/>
            </w:r>
            <w:r w:rsidR="00D5491B" w:rsidRPr="00347B93">
              <w:rPr>
                <w:rStyle w:val="Hypertextovodkaz"/>
                <w:noProof/>
              </w:rPr>
              <w:t>Závěr</w:t>
            </w:r>
            <w:r w:rsidR="00D5491B">
              <w:rPr>
                <w:noProof/>
                <w:webHidden/>
              </w:rPr>
              <w:tab/>
            </w:r>
            <w:r w:rsidR="00D5491B">
              <w:rPr>
                <w:noProof/>
                <w:webHidden/>
              </w:rPr>
              <w:fldChar w:fldCharType="begin"/>
            </w:r>
            <w:r w:rsidR="00D5491B">
              <w:rPr>
                <w:noProof/>
                <w:webHidden/>
              </w:rPr>
              <w:instrText xml:space="preserve"> PAGEREF _Toc72326925 \h </w:instrText>
            </w:r>
            <w:r w:rsidR="00D5491B">
              <w:rPr>
                <w:noProof/>
                <w:webHidden/>
              </w:rPr>
            </w:r>
            <w:r w:rsidR="00D5491B">
              <w:rPr>
                <w:noProof/>
                <w:webHidden/>
              </w:rPr>
              <w:fldChar w:fldCharType="separate"/>
            </w:r>
            <w:r w:rsidR="00467E25">
              <w:rPr>
                <w:noProof/>
                <w:webHidden/>
              </w:rPr>
              <w:t>6</w:t>
            </w:r>
            <w:r w:rsidR="00D5491B">
              <w:rPr>
                <w:noProof/>
                <w:webHidden/>
              </w:rPr>
              <w:fldChar w:fldCharType="end"/>
            </w:r>
          </w:hyperlink>
        </w:p>
        <w:p w14:paraId="564FC0C9" w14:textId="77777777" w:rsidR="00AE038B" w:rsidRDefault="00AE038B">
          <w:r>
            <w:rPr>
              <w:b/>
              <w:bCs/>
            </w:rPr>
            <w:fldChar w:fldCharType="end"/>
          </w:r>
        </w:p>
      </w:sdtContent>
    </w:sdt>
    <w:p w14:paraId="4CA3C06D" w14:textId="77777777" w:rsidR="00DD012E" w:rsidRDefault="0061760D" w:rsidP="004110A1">
      <w:r w:rsidRPr="00471EFA">
        <w:br w:type="page"/>
      </w:r>
      <w:bookmarkStart w:id="4" w:name="_Toc454289341"/>
    </w:p>
    <w:p w14:paraId="4119F488" w14:textId="77777777" w:rsidR="00FA4D70" w:rsidRPr="00A871E5" w:rsidRDefault="00FA4D70" w:rsidP="00006DDD">
      <w:pPr>
        <w:pStyle w:val="Nadpis1"/>
      </w:pPr>
      <w:bookmarkStart w:id="5" w:name="_Toc454361881"/>
      <w:bookmarkStart w:id="6" w:name="_Toc72326916"/>
      <w:bookmarkStart w:id="7" w:name="_Toc457461883"/>
      <w:r w:rsidRPr="00A871E5">
        <w:lastRenderedPageBreak/>
        <w:t>Základní údaje</w:t>
      </w:r>
      <w:bookmarkEnd w:id="5"/>
      <w:bookmarkEnd w:id="6"/>
    </w:p>
    <w:p w14:paraId="1BC6E491" w14:textId="4C19A7C6" w:rsidR="007A6E8E" w:rsidRDefault="00864B83" w:rsidP="00F964D7">
      <w:pPr>
        <w:tabs>
          <w:tab w:val="left" w:pos="2268"/>
        </w:tabs>
        <w:spacing w:after="0" w:line="240" w:lineRule="exact"/>
      </w:pPr>
      <w:bookmarkStart w:id="8" w:name="_Toc454361882"/>
      <w:r w:rsidRPr="00864B83">
        <w:rPr>
          <w:b/>
        </w:rPr>
        <w:t xml:space="preserve">Název stavby: </w:t>
      </w:r>
      <w:r w:rsidRPr="00864B83">
        <w:tab/>
      </w:r>
      <w:r w:rsidR="001714A3" w:rsidRPr="001714A3">
        <w:t xml:space="preserve">Č.P. 536, </w:t>
      </w:r>
      <w:proofErr w:type="gramStart"/>
      <w:r w:rsidR="001714A3" w:rsidRPr="001714A3">
        <w:t>LÍSKOVEC</w:t>
      </w:r>
      <w:r w:rsidR="001714A3">
        <w:t xml:space="preserve"> -</w:t>
      </w:r>
      <w:r w:rsidR="001714A3" w:rsidRPr="001714A3">
        <w:t xml:space="preserve"> STAVEBNÍ</w:t>
      </w:r>
      <w:proofErr w:type="gramEnd"/>
      <w:r w:rsidR="001714A3" w:rsidRPr="001714A3">
        <w:t xml:space="preserve"> ÚPRAVY, K.Ú LÍSKOVEC U FRÝDKU-M</w:t>
      </w:r>
      <w:r w:rsidR="00380E71">
        <w:t>Í</w:t>
      </w:r>
      <w:r w:rsidR="001714A3" w:rsidRPr="001714A3">
        <w:t>STKU</w:t>
      </w:r>
    </w:p>
    <w:p w14:paraId="383B5C61" w14:textId="0F463365" w:rsidR="00864B83" w:rsidRPr="00864B83" w:rsidRDefault="00864B83" w:rsidP="00F964D7">
      <w:pPr>
        <w:tabs>
          <w:tab w:val="left" w:pos="2268"/>
        </w:tabs>
        <w:spacing w:after="120" w:line="240" w:lineRule="exact"/>
      </w:pPr>
      <w:r w:rsidRPr="00864B83">
        <w:rPr>
          <w:b/>
        </w:rPr>
        <w:t>Místo stavby:</w:t>
      </w:r>
      <w:r w:rsidRPr="00864B83">
        <w:rPr>
          <w:b/>
        </w:rPr>
        <w:tab/>
      </w:r>
      <w:r w:rsidR="00F964D7">
        <w:t>Lískovec 536, 738 01 Frýdek-</w:t>
      </w:r>
      <w:proofErr w:type="gramStart"/>
      <w:r w:rsidR="00F964D7">
        <w:t>Místek -</w:t>
      </w:r>
      <w:r w:rsidR="00380E71">
        <w:t xml:space="preserve"> </w:t>
      </w:r>
      <w:r w:rsidR="00F964D7">
        <w:t>Lískovec</w:t>
      </w:r>
      <w:proofErr w:type="gramEnd"/>
      <w:r w:rsidR="00F964D7">
        <w:t xml:space="preserve">   </w:t>
      </w:r>
    </w:p>
    <w:p w14:paraId="5853B693" w14:textId="77777777" w:rsidR="00864B83" w:rsidRPr="00864B83" w:rsidRDefault="00864B83" w:rsidP="00864B83">
      <w:pPr>
        <w:tabs>
          <w:tab w:val="left" w:pos="2268"/>
        </w:tabs>
        <w:spacing w:after="120" w:line="240" w:lineRule="exact"/>
        <w:ind w:left="2265" w:hanging="2265"/>
      </w:pPr>
      <w:r w:rsidRPr="00864B83">
        <w:rPr>
          <w:b/>
        </w:rPr>
        <w:t>Předmět PD:</w:t>
      </w:r>
      <w:r w:rsidRPr="00864B83">
        <w:rPr>
          <w:b/>
        </w:rPr>
        <w:tab/>
      </w:r>
      <w:r w:rsidRPr="00864B83">
        <w:tab/>
      </w:r>
      <w:r w:rsidR="00D52FE3">
        <w:t xml:space="preserve">Dokumentace pro výběr dodavatele stavby </w:t>
      </w:r>
    </w:p>
    <w:p w14:paraId="1E900E3B" w14:textId="77777777" w:rsidR="00067499" w:rsidRPr="00A871E5" w:rsidRDefault="00067499" w:rsidP="00006DDD">
      <w:pPr>
        <w:pStyle w:val="Nadpis1"/>
        <w:numPr>
          <w:ilvl w:val="0"/>
          <w:numId w:val="0"/>
        </w:numPr>
        <w:ind w:left="714"/>
      </w:pPr>
      <w:bookmarkStart w:id="9" w:name="_Toc454361886"/>
      <w:bookmarkEnd w:id="8"/>
    </w:p>
    <w:p w14:paraId="177EA555" w14:textId="758DC2B8" w:rsidR="00D5414C" w:rsidRDefault="00380E71" w:rsidP="00343BAF">
      <w:pPr>
        <w:pStyle w:val="Nadpis3"/>
      </w:pPr>
      <w:bookmarkStart w:id="10" w:name="_Toc72326917"/>
      <w:bookmarkEnd w:id="9"/>
      <w:r>
        <w:t>A</w:t>
      </w:r>
      <w:r w:rsidR="00D5414C" w:rsidRPr="00D5414C">
        <w:t>rchitektonické, výtvarné, materiálové, dispoziční a provozní řešení, bezbariérové užívání stavby;</w:t>
      </w:r>
      <w:bookmarkEnd w:id="10"/>
    </w:p>
    <w:p w14:paraId="709974AF" w14:textId="5FCD15F3" w:rsidR="001D17DC" w:rsidRDefault="00EC3FCC" w:rsidP="00796E02">
      <w:pPr>
        <w:spacing w:before="240"/>
      </w:pPr>
      <w:r>
        <w:t xml:space="preserve">Stavebním objektem je </w:t>
      </w:r>
      <w:r w:rsidRPr="00D5414C">
        <w:t xml:space="preserve">stávající </w:t>
      </w:r>
      <w:r w:rsidR="00F964D7">
        <w:t>budov</w:t>
      </w:r>
      <w:r w:rsidR="001714A3">
        <w:t>a</w:t>
      </w:r>
      <w:r w:rsidR="00F964D7">
        <w:t xml:space="preserve"> správy </w:t>
      </w:r>
      <w:r w:rsidR="001714A3" w:rsidRPr="001714A3">
        <w:t xml:space="preserve">FK Frýdek-Místek </w:t>
      </w:r>
      <w:proofErr w:type="spellStart"/>
      <w:r w:rsidR="001714A3" w:rsidRPr="001714A3">
        <w:t>z.s</w:t>
      </w:r>
      <w:proofErr w:type="spellEnd"/>
      <w:r w:rsidR="001714A3" w:rsidRPr="001714A3">
        <w:t>.</w:t>
      </w:r>
      <w:r w:rsidR="00F964D7">
        <w:t xml:space="preserve"> Budova je samostatně stojící na </w:t>
      </w:r>
      <w:proofErr w:type="spellStart"/>
      <w:r w:rsidR="00F964D7">
        <w:t>par.</w:t>
      </w:r>
      <w:r w:rsidR="00380E71">
        <w:t>č</w:t>
      </w:r>
      <w:proofErr w:type="spellEnd"/>
      <w:r w:rsidR="00380E71">
        <w:t>.</w:t>
      </w:r>
      <w:r w:rsidR="00F964D7">
        <w:t xml:space="preserve"> 4129/10 v</w:t>
      </w:r>
      <w:r w:rsidR="00380E71">
        <w:t> </w:t>
      </w:r>
      <w:proofErr w:type="spellStart"/>
      <w:r w:rsidR="00F964D7">
        <w:t>k</w:t>
      </w:r>
      <w:r w:rsidR="00380E71">
        <w:t>.</w:t>
      </w:r>
      <w:r w:rsidR="00F964D7">
        <w:t>ú</w:t>
      </w:r>
      <w:proofErr w:type="spellEnd"/>
      <w:r w:rsidR="00F964D7">
        <w:t xml:space="preserve">. Lískovec. Objekt budovy slouží současně jako </w:t>
      </w:r>
      <w:r w:rsidR="001D17DC">
        <w:t xml:space="preserve">fotbalová </w:t>
      </w:r>
      <w:r w:rsidR="00F964D7">
        <w:t>tribuna divák</w:t>
      </w:r>
      <w:r w:rsidR="001714A3">
        <w:t>ů</w:t>
      </w:r>
      <w:r w:rsidR="001D17DC">
        <w:t>. Objekt je orientován tribunou východním směrem. Objekt je 2 podlažní, podsklepený. Zastřešení budovy je pultovou střechou se stávající krytinou. Střecha je řešen</w:t>
      </w:r>
      <w:r w:rsidR="00380E71">
        <w:t>a</w:t>
      </w:r>
      <w:r w:rsidR="001D17DC">
        <w:t xml:space="preserve"> jako jednoplášťová. Vstup do domu je z </w:t>
      </w:r>
      <w:r w:rsidR="00897A1F">
        <w:t>jižn</w:t>
      </w:r>
      <w:r w:rsidR="001D17DC">
        <w:t xml:space="preserve">í strany.  V 1NP objektu se nachází zázemí pro hráče klubu. Jsou zde umístěné šatny, sprchy hráčů a dále se zde nachází kancelář a technické zázemí.  Vstup do 2NP je zajištěn postranním venkovním kovovým schodištěm přes tribunu diváků, která je umístěna na části 1NP a je krytá střechou. V 2NP se nachází společenská místnost </w:t>
      </w:r>
      <w:r w:rsidR="001714A3">
        <w:t>s</w:t>
      </w:r>
      <w:r w:rsidR="001D17DC">
        <w:t xml:space="preserve"> kuchyňkou. </w:t>
      </w:r>
    </w:p>
    <w:p w14:paraId="4A1E505D" w14:textId="1C276CF0" w:rsidR="00D52FE3" w:rsidRDefault="00D52FE3" w:rsidP="00D52FE3">
      <w:r>
        <w:t>Doprava a zásobení stavby je uvažováno z uliční komunikace mi</w:t>
      </w:r>
      <w:r w:rsidR="00380E71">
        <w:t>m</w:t>
      </w:r>
      <w:r>
        <w:t xml:space="preserve">o zařízení staveniště, které bude umístěno </w:t>
      </w:r>
      <w:r w:rsidR="001D17DC">
        <w:t xml:space="preserve">na přilehlé odstavné ploše. </w:t>
      </w:r>
    </w:p>
    <w:p w14:paraId="07FDE41E" w14:textId="77777777" w:rsidR="00D52FE3" w:rsidRDefault="00D52FE3" w:rsidP="00D52FE3">
      <w:r>
        <w:t xml:space="preserve">Výměna okenních výplní bude prováděna za přítomnosti </w:t>
      </w:r>
      <w:r w:rsidR="00796E02">
        <w:t>uživatele objektu</w:t>
      </w:r>
      <w:r>
        <w:t xml:space="preserve">. </w:t>
      </w:r>
    </w:p>
    <w:p w14:paraId="32250EB1" w14:textId="77777777" w:rsidR="00EC3FCC" w:rsidRDefault="009C12D7" w:rsidP="00EC3FCC">
      <w:r>
        <w:t>Př</w:t>
      </w:r>
      <w:r w:rsidR="00D52FE3">
        <w:t>ed zahájením oprav je nutné provést opat</w:t>
      </w:r>
      <w:r>
        <w:rPr>
          <w:rFonts w:ascii="Calibri" w:eastAsia="Calibri" w:hAnsi="Calibri" w:cs="Calibri"/>
        </w:rPr>
        <w:t>ř</w:t>
      </w:r>
      <w:r w:rsidR="00D52FE3">
        <w:t>ení pro zamezení vstupu nepovolaných osob</w:t>
      </w:r>
      <w:r>
        <w:t xml:space="preserve"> </w:t>
      </w:r>
      <w:r w:rsidR="00D52FE3">
        <w:t xml:space="preserve">na </w:t>
      </w:r>
      <w:r>
        <w:t>staveniště</w:t>
      </w:r>
      <w:r w:rsidR="00D52FE3">
        <w:t xml:space="preserve"> a proti </w:t>
      </w:r>
      <w:r w:rsidR="00796E02">
        <w:t xml:space="preserve">pádu předmětů z výšky. </w:t>
      </w:r>
      <w:r>
        <w:t xml:space="preserve">Veškerý stavební odpad bude hned po demontáží oken likvidován a odvážen na skládku. </w:t>
      </w:r>
    </w:p>
    <w:p w14:paraId="52B17431" w14:textId="77777777" w:rsidR="00796E02" w:rsidRDefault="00796E02" w:rsidP="00EC3FCC">
      <w:r>
        <w:t xml:space="preserve">Provedení odvodnění bude prováděno pouze ze západní a severní části objektu. Odvodnění bude napojena na stávající retenční nádrž. </w:t>
      </w:r>
    </w:p>
    <w:p w14:paraId="7CC3581C" w14:textId="77777777" w:rsidR="001F3ADD" w:rsidRDefault="001F3ADD" w:rsidP="00EC3FCC">
      <w:r>
        <w:t xml:space="preserve">V okolí </w:t>
      </w:r>
      <w:r w:rsidRPr="001F3ADD">
        <w:t>objektu se nachází</w:t>
      </w:r>
      <w:r>
        <w:t xml:space="preserve"> </w:t>
      </w:r>
      <w:r w:rsidRPr="001F3ADD">
        <w:t>pouze ochranná pásma stávajících inženýrských sítí a přípojek</w:t>
      </w:r>
      <w:r>
        <w:t xml:space="preserve">. </w:t>
      </w:r>
    </w:p>
    <w:p w14:paraId="6D1821FB" w14:textId="31D41116" w:rsidR="00EC3FCC" w:rsidRPr="00EC3FCC" w:rsidRDefault="005603A3" w:rsidP="00343BAF">
      <w:pPr>
        <w:pStyle w:val="Nadpis3"/>
      </w:pPr>
      <w:bookmarkStart w:id="11" w:name="_Toc72326918"/>
      <w:r>
        <w:t>M</w:t>
      </w:r>
      <w:r w:rsidR="00EC3FCC" w:rsidRPr="00EC3FCC">
        <w:t>ateriálové řešení</w:t>
      </w:r>
      <w:bookmarkEnd w:id="11"/>
    </w:p>
    <w:p w14:paraId="51DC851B" w14:textId="0049A7B7" w:rsidR="00EC3FCC" w:rsidRDefault="00EC3FCC" w:rsidP="00EC3FCC">
      <w:pPr>
        <w:spacing w:after="0"/>
      </w:pPr>
      <w:r>
        <w:t>Budova je zděná, převážně z cihel plných. Konstrukce zastřešení je dřevě</w:t>
      </w:r>
      <w:r w:rsidR="00380E71">
        <w:t>n</w:t>
      </w:r>
      <w:r>
        <w:t>ým krovem. Stávající střecha</w:t>
      </w:r>
    </w:p>
    <w:p w14:paraId="13EB3E71" w14:textId="77777777" w:rsidR="009C12D7" w:rsidRDefault="00EC3FCC" w:rsidP="009C12D7">
      <w:pPr>
        <w:spacing w:after="0"/>
      </w:pPr>
      <w:r>
        <w:t>je nezateplená s</w:t>
      </w:r>
      <w:r w:rsidR="00A61A4C">
        <w:t xml:space="preserve"> plechovou </w:t>
      </w:r>
      <w:r>
        <w:t xml:space="preserve">krytinou na </w:t>
      </w:r>
      <w:proofErr w:type="spellStart"/>
      <w:r>
        <w:t>dř</w:t>
      </w:r>
      <w:proofErr w:type="spellEnd"/>
      <w:r>
        <w:t>. bednění. Stávající okna jsou dřevěná</w:t>
      </w:r>
      <w:r w:rsidR="009C12D7">
        <w:t xml:space="preserve">. </w:t>
      </w:r>
    </w:p>
    <w:p w14:paraId="42C74287" w14:textId="77777777" w:rsidR="00A61A4C" w:rsidRPr="009C12D7" w:rsidRDefault="00A61A4C" w:rsidP="00343BAF">
      <w:pPr>
        <w:pStyle w:val="Nadpis3"/>
        <w:rPr>
          <w:rFonts w:eastAsiaTheme="minorHAnsi"/>
        </w:rPr>
      </w:pPr>
      <w:bookmarkStart w:id="12" w:name="_Toc72326919"/>
      <w:r w:rsidRPr="00A61A4C">
        <w:t>Bezbariérové užívání stavb</w:t>
      </w:r>
      <w:r w:rsidR="009C12D7">
        <w:t>y</w:t>
      </w:r>
      <w:bookmarkEnd w:id="12"/>
    </w:p>
    <w:p w14:paraId="715007D6" w14:textId="77777777" w:rsidR="009C12D7" w:rsidRPr="009C12D7" w:rsidRDefault="009C12D7" w:rsidP="009C12D7">
      <w:pPr>
        <w:spacing w:after="0"/>
      </w:pPr>
      <w:r w:rsidRPr="00A61A4C">
        <w:t>Projektem není tato oblast ovlivněna</w:t>
      </w:r>
    </w:p>
    <w:p w14:paraId="264991EF" w14:textId="77777777" w:rsidR="009C12D7" w:rsidRPr="009C12D7" w:rsidRDefault="009C12D7" w:rsidP="00343BAF">
      <w:pPr>
        <w:pStyle w:val="Nadpis3"/>
        <w:rPr>
          <w:rFonts w:eastAsiaTheme="minorHAnsi"/>
        </w:rPr>
      </w:pPr>
      <w:bookmarkStart w:id="13" w:name="_Toc72326920"/>
      <w:r>
        <w:t>Urbanistické řešení</w:t>
      </w:r>
      <w:bookmarkEnd w:id="13"/>
      <w:r>
        <w:t xml:space="preserve"> </w:t>
      </w:r>
    </w:p>
    <w:p w14:paraId="6F703498" w14:textId="77777777" w:rsidR="00A61A4C" w:rsidRDefault="00A61A4C" w:rsidP="00A61A4C">
      <w:pPr>
        <w:spacing w:after="0"/>
      </w:pPr>
      <w:r w:rsidRPr="00A61A4C">
        <w:t>Projektem není tato oblast ovlivněna</w:t>
      </w:r>
    </w:p>
    <w:p w14:paraId="3E9EA2F4" w14:textId="77777777" w:rsidR="00A61A4C" w:rsidRPr="006826E2" w:rsidRDefault="00006DDD" w:rsidP="00343BAF">
      <w:pPr>
        <w:pStyle w:val="Nadpis3"/>
      </w:pPr>
      <w:bookmarkStart w:id="14" w:name="_Toc72326921"/>
      <w:r>
        <w:t>S</w:t>
      </w:r>
      <w:r w:rsidR="00A61A4C" w:rsidRPr="00A61A4C">
        <w:t>tavebně technické řešení</w:t>
      </w:r>
      <w:bookmarkEnd w:id="14"/>
      <w:r w:rsidR="00A61A4C" w:rsidRPr="00A61A4C">
        <w:t xml:space="preserve"> </w:t>
      </w:r>
    </w:p>
    <w:p w14:paraId="66DE4EAB" w14:textId="77777777" w:rsidR="00006DDD" w:rsidRDefault="00006DDD" w:rsidP="00006DDD">
      <w:r>
        <w:t xml:space="preserve">Návrh </w:t>
      </w:r>
      <w:r>
        <w:rPr>
          <w:rFonts w:ascii="Calibri" w:eastAsia="Calibri" w:hAnsi="Calibri" w:cs="Calibri"/>
        </w:rPr>
        <w:t>ř</w:t>
      </w:r>
      <w:r>
        <w:t>eší kompletní vým</w:t>
      </w:r>
      <w:r>
        <w:rPr>
          <w:rFonts w:ascii="Calibri" w:eastAsia="Calibri" w:hAnsi="Calibri" w:cs="Calibri"/>
        </w:rPr>
        <w:t>ě</w:t>
      </w:r>
      <w:r>
        <w:t>nu fasádních výplní otvor</w:t>
      </w:r>
      <w:r w:rsidR="00796E02">
        <w:rPr>
          <w:rFonts w:ascii="Calibri" w:eastAsia="Calibri" w:hAnsi="Calibri" w:cs="Calibri"/>
        </w:rPr>
        <w:t>ů</w:t>
      </w:r>
      <w:r>
        <w:t xml:space="preserve"> – oken, oplechování</w:t>
      </w:r>
      <w:r w:rsidR="00796E02">
        <w:t xml:space="preserve"> </w:t>
      </w:r>
      <w:r>
        <w:t>parapet</w:t>
      </w:r>
      <w:r>
        <w:rPr>
          <w:rFonts w:ascii="Calibri" w:eastAsia="Calibri" w:hAnsi="Calibri" w:cs="Calibri"/>
        </w:rPr>
        <w:t xml:space="preserve">ů </w:t>
      </w:r>
      <w:r>
        <w:t>oken, provedení nového ostění a výmalba vnitřních ost</w:t>
      </w:r>
      <w:r>
        <w:rPr>
          <w:rFonts w:ascii="Calibri" w:eastAsia="Calibri" w:hAnsi="Calibri" w:cs="Calibri"/>
        </w:rPr>
        <w:t>ě</w:t>
      </w:r>
      <w:r>
        <w:t>ní výplní otvor</w:t>
      </w:r>
      <w:r>
        <w:rPr>
          <w:rFonts w:ascii="Calibri" w:eastAsia="Calibri" w:hAnsi="Calibri" w:cs="Calibri"/>
        </w:rPr>
        <w:t>ů</w:t>
      </w:r>
      <w:r>
        <w:t>, montáž vnitřního parapetu oken, úklid staveništ</w:t>
      </w:r>
      <w:r>
        <w:rPr>
          <w:rFonts w:ascii="Calibri" w:eastAsia="Calibri" w:hAnsi="Calibri" w:cs="Calibri"/>
        </w:rPr>
        <w:t>ě</w:t>
      </w:r>
      <w:r>
        <w:t>.</w:t>
      </w:r>
    </w:p>
    <w:p w14:paraId="797CE2C4" w14:textId="77777777" w:rsidR="00796E02" w:rsidRDefault="00F01643" w:rsidP="00006DDD">
      <w:r>
        <w:t xml:space="preserve">Odvodnění západní části objektu se provede odkopem západní strany objektu. Odvodnění bude provedeno drenážním potrubím </w:t>
      </w:r>
      <w:proofErr w:type="gramStart"/>
      <w:r>
        <w:t>s</w:t>
      </w:r>
      <w:proofErr w:type="gramEnd"/>
      <w:r w:rsidR="00897A1F">
        <w:t> napojení na původní dešťovou kanalizaci</w:t>
      </w:r>
      <w:r>
        <w:t xml:space="preserve">. </w:t>
      </w:r>
    </w:p>
    <w:p w14:paraId="47146194" w14:textId="77777777" w:rsidR="00006DDD" w:rsidRDefault="00006DDD" w:rsidP="00006DDD">
      <w:r>
        <w:t>Stavební úpravy nevyvolají zásah do nosných konstrukcí domu.</w:t>
      </w:r>
    </w:p>
    <w:p w14:paraId="73F045A7" w14:textId="77777777" w:rsidR="00006DDD" w:rsidRDefault="00006DDD" w:rsidP="00006DDD">
      <w:r>
        <w:t>Veškeré materiály, konstrukce a stavební postupy použité v návrhu stavby splňují podmínky mechanické odolnosti a stability, požární bezpe</w:t>
      </w:r>
      <w:r>
        <w:rPr>
          <w:rFonts w:ascii="Calibri" w:eastAsia="Calibri" w:hAnsi="Calibri" w:cs="Calibri"/>
        </w:rPr>
        <w:t>č</w:t>
      </w:r>
      <w:r>
        <w:t xml:space="preserve">nosti, hygieny, ochrany zdraví a </w:t>
      </w:r>
      <w:r>
        <w:rPr>
          <w:rFonts w:hint="eastAsia"/>
        </w:rPr>
        <w:t>ž</w:t>
      </w:r>
      <w:r>
        <w:t>ivotního prost</w:t>
      </w:r>
      <w:r>
        <w:rPr>
          <w:rFonts w:ascii="Calibri" w:eastAsia="Calibri" w:hAnsi="Calibri" w:cs="Calibri"/>
        </w:rPr>
        <w:t>ř</w:t>
      </w:r>
      <w:r>
        <w:t>edí, bezpe</w:t>
      </w:r>
      <w:r>
        <w:rPr>
          <w:rFonts w:ascii="Calibri" w:eastAsia="Calibri" w:hAnsi="Calibri" w:cs="Calibri"/>
        </w:rPr>
        <w:t>č</w:t>
      </w:r>
      <w:r>
        <w:t>nosti p</w:t>
      </w:r>
      <w:r>
        <w:rPr>
          <w:rFonts w:ascii="Calibri" w:eastAsia="Calibri" w:hAnsi="Calibri" w:cs="Calibri"/>
        </w:rPr>
        <w:t>ř</w:t>
      </w:r>
      <w:r>
        <w:t>i užívání, ochrany proti hluku, úspory energie a ochrany tepla.</w:t>
      </w:r>
    </w:p>
    <w:p w14:paraId="63ACFE2B" w14:textId="3326979B" w:rsidR="00343BAF" w:rsidRPr="006826E2" w:rsidRDefault="005603A3" w:rsidP="00343BAF">
      <w:pPr>
        <w:pStyle w:val="Nadpis3"/>
      </w:pPr>
      <w:bookmarkStart w:id="15" w:name="_Toc72326922"/>
      <w:r>
        <w:t>S</w:t>
      </w:r>
      <w:r w:rsidR="00343BAF" w:rsidRPr="00F05932">
        <w:t>tavební fyzika</w:t>
      </w:r>
      <w:bookmarkEnd w:id="15"/>
      <w:r w:rsidR="00343BAF" w:rsidRPr="00F05932">
        <w:t xml:space="preserve"> </w:t>
      </w:r>
    </w:p>
    <w:p w14:paraId="7E9FA40A" w14:textId="77777777" w:rsidR="00343BAF" w:rsidRPr="00F01643" w:rsidRDefault="00343BAF" w:rsidP="00F01643">
      <w:r w:rsidRPr="00F01643">
        <w:t>Dokumentace je v souladu s dotčenými hygienickými předpisy a závaznými normami ČSN a vyhláškou č.</w:t>
      </w:r>
    </w:p>
    <w:p w14:paraId="4D650D77" w14:textId="7643A85F" w:rsidR="00343BAF" w:rsidRPr="00EA66B7" w:rsidRDefault="00343BAF" w:rsidP="00F01643">
      <w:pPr>
        <w:rPr>
          <w:rFonts w:eastAsia="Times New Roman"/>
        </w:rPr>
      </w:pPr>
      <w:r w:rsidRPr="00F01643">
        <w:t xml:space="preserve">269/2009 Sb., o technických požadavcích na stavby, novelizovanou vyhláškou 20/2012 Sb. a vyhláškou </w:t>
      </w:r>
      <w:r w:rsidR="005603A3">
        <w:t xml:space="preserve">             </w:t>
      </w:r>
      <w:r w:rsidRPr="00F01643">
        <w:t xml:space="preserve">č. 26/1999 Sb., o obecných technických požadavcích na stavby. Dále je v souladu s vyhláškou č. 431/2012 Sb., </w:t>
      </w:r>
      <w:r w:rsidRPr="00F01643">
        <w:lastRenderedPageBreak/>
        <w:t>kterou se mění vyhláška č. 501/2006 Sb., o obecných požadavcích na využívání území. Dokumentace splňuje příslušné předpisy a požadavky jak pro vnitřní prostředí, tak i pro vliv stavby na životní prostředí</w:t>
      </w:r>
      <w:r w:rsidRPr="00EA66B7">
        <w:rPr>
          <w:rFonts w:eastAsia="Times New Roman"/>
        </w:rPr>
        <w:t>.</w:t>
      </w:r>
    </w:p>
    <w:p w14:paraId="38C2758F" w14:textId="77777777" w:rsidR="00006DDD" w:rsidRDefault="00006DDD" w:rsidP="00006DDD"/>
    <w:p w14:paraId="1724B4EF" w14:textId="77777777" w:rsidR="00006DDD" w:rsidRDefault="00006DDD" w:rsidP="00006DDD">
      <w:pPr>
        <w:pStyle w:val="Nadpis1"/>
      </w:pPr>
      <w:bookmarkStart w:id="16" w:name="_Toc72326923"/>
      <w:r w:rsidRPr="00006DDD">
        <w:t xml:space="preserve">Technické a konstrukční </w:t>
      </w:r>
      <w:r>
        <w:t>ře</w:t>
      </w:r>
      <w:r w:rsidRPr="00006DDD">
        <w:t>šení</w:t>
      </w:r>
      <w:bookmarkEnd w:id="16"/>
    </w:p>
    <w:p w14:paraId="763E0153" w14:textId="1C9F3DE6" w:rsidR="00006DDD" w:rsidRDefault="00006DDD" w:rsidP="00006DDD">
      <w:r>
        <w:t>Po provedení obhlídky a zaměření stavebních otvorů a všech prvků</w:t>
      </w:r>
      <w:r w:rsidR="005603A3">
        <w:t>,</w:t>
      </w:r>
      <w:r>
        <w:t xml:space="preserve"> které s tím souvisí, </w:t>
      </w:r>
      <w:r w:rsidR="00BE74E8">
        <w:t xml:space="preserve">jsou navrženy tyto opravy: </w:t>
      </w:r>
    </w:p>
    <w:p w14:paraId="43C5B873" w14:textId="77777777" w:rsidR="00BE74E8" w:rsidRPr="00BE74E8" w:rsidRDefault="00BE74E8" w:rsidP="00BE74E8">
      <w:pPr>
        <w:pStyle w:val="Odstavecseseznamem"/>
        <w:ind w:left="0"/>
        <w:rPr>
          <w:b/>
          <w:bCs/>
        </w:rPr>
      </w:pPr>
      <w:r w:rsidRPr="00BE74E8">
        <w:rPr>
          <w:b/>
          <w:bCs/>
        </w:rPr>
        <w:t>Rozsah prováděných oprav</w:t>
      </w:r>
    </w:p>
    <w:p w14:paraId="1341F1D1" w14:textId="77777777" w:rsidR="00BE74E8" w:rsidRDefault="00BE74E8" w:rsidP="00DF3FA8">
      <w:pPr>
        <w:pStyle w:val="Odstavecseseznamem"/>
        <w:numPr>
          <w:ilvl w:val="0"/>
          <w:numId w:val="7"/>
        </w:numPr>
      </w:pPr>
      <w:r>
        <w:t>Provedení výměny okenních otvorů</w:t>
      </w:r>
      <w:r w:rsidR="00F01643">
        <w:t xml:space="preserve"> za okna plastová </w:t>
      </w:r>
      <w:r>
        <w:t xml:space="preserve"> </w:t>
      </w:r>
    </w:p>
    <w:p w14:paraId="63E690D3" w14:textId="77777777" w:rsidR="00BE74E8" w:rsidRDefault="00BE74E8" w:rsidP="00DF3FA8">
      <w:pPr>
        <w:pStyle w:val="Odstavecseseznamem"/>
        <w:numPr>
          <w:ilvl w:val="0"/>
          <w:numId w:val="7"/>
        </w:numPr>
      </w:pPr>
      <w:r>
        <w:t xml:space="preserve">Provedení </w:t>
      </w:r>
      <w:r w:rsidR="00F01643">
        <w:t>výměny oplechování oken</w:t>
      </w:r>
    </w:p>
    <w:p w14:paraId="1F4EEDCF" w14:textId="77777777" w:rsidR="00BE74E8" w:rsidRDefault="00BE74E8" w:rsidP="00DF3FA8">
      <w:pPr>
        <w:pStyle w:val="Odstavecseseznamem"/>
        <w:numPr>
          <w:ilvl w:val="0"/>
          <w:numId w:val="7"/>
        </w:numPr>
      </w:pPr>
      <w:r>
        <w:t xml:space="preserve">Provedení </w:t>
      </w:r>
      <w:r w:rsidR="00F01643">
        <w:t xml:space="preserve">nového nátěru kovových konstrukcí </w:t>
      </w:r>
    </w:p>
    <w:p w14:paraId="3205DB0B" w14:textId="77777777" w:rsidR="00F01643" w:rsidRDefault="00F01643" w:rsidP="00DF3FA8">
      <w:pPr>
        <w:pStyle w:val="Odstavecseseznamem"/>
        <w:numPr>
          <w:ilvl w:val="0"/>
          <w:numId w:val="7"/>
        </w:numPr>
      </w:pPr>
      <w:r>
        <w:t>Provedení dokopu objektu</w:t>
      </w:r>
    </w:p>
    <w:p w14:paraId="25B0FB5B" w14:textId="77777777" w:rsidR="00F01643" w:rsidRDefault="00F01643" w:rsidP="00DF3FA8">
      <w:pPr>
        <w:pStyle w:val="Odstavecseseznamem"/>
        <w:numPr>
          <w:ilvl w:val="0"/>
          <w:numId w:val="7"/>
        </w:numPr>
      </w:pPr>
      <w:r>
        <w:t xml:space="preserve">Provedení drenážního potrubí </w:t>
      </w:r>
    </w:p>
    <w:p w14:paraId="11A79B0B" w14:textId="77777777" w:rsidR="00F01643" w:rsidRDefault="00F01643" w:rsidP="00DF3FA8">
      <w:pPr>
        <w:pStyle w:val="Odstavecseseznamem"/>
        <w:numPr>
          <w:ilvl w:val="0"/>
          <w:numId w:val="7"/>
        </w:numPr>
      </w:pPr>
      <w:r>
        <w:t xml:space="preserve">Provedení úprav společných sprch </w:t>
      </w:r>
    </w:p>
    <w:p w14:paraId="65F3A553" w14:textId="77777777" w:rsidR="00F01643" w:rsidRDefault="00F01643" w:rsidP="00F01643">
      <w:pPr>
        <w:pStyle w:val="Odstavecseseznamem"/>
        <w:numPr>
          <w:ilvl w:val="0"/>
          <w:numId w:val="7"/>
        </w:numPr>
      </w:pPr>
      <w:r>
        <w:t>Provedení oprav vnějších omítek (soklu)</w:t>
      </w:r>
    </w:p>
    <w:p w14:paraId="4F1A410F" w14:textId="77777777" w:rsidR="00867E52" w:rsidRDefault="00867E52" w:rsidP="00BE74E8">
      <w:pPr>
        <w:rPr>
          <w:b/>
          <w:bCs/>
        </w:rPr>
      </w:pPr>
    </w:p>
    <w:p w14:paraId="3D3EC978" w14:textId="77777777" w:rsidR="00867E52" w:rsidRPr="00867E52" w:rsidRDefault="00867E52" w:rsidP="00867E52">
      <w:pPr>
        <w:rPr>
          <w:b/>
          <w:bCs/>
        </w:rPr>
      </w:pPr>
      <w:r w:rsidRPr="00867E52">
        <w:rPr>
          <w:b/>
          <w:bCs/>
        </w:rPr>
        <w:t>Výkopové práce</w:t>
      </w:r>
    </w:p>
    <w:p w14:paraId="2CC3E573" w14:textId="77777777" w:rsidR="00867E52" w:rsidRPr="00867E52" w:rsidRDefault="00867E52" w:rsidP="00867E52">
      <w:pPr>
        <w:spacing w:after="0"/>
      </w:pPr>
      <w:r w:rsidRPr="00867E52">
        <w:t>Před zahájením výkopových prací je nutno vytyčení všech sítí v okolí výkopu, včetně přípojek</w:t>
      </w:r>
    </w:p>
    <w:p w14:paraId="724632FB" w14:textId="77777777" w:rsidR="00867E52" w:rsidRPr="00867E52" w:rsidRDefault="00867E52" w:rsidP="00867E52">
      <w:pPr>
        <w:spacing w:after="0"/>
      </w:pPr>
      <w:r w:rsidRPr="00867E52">
        <w:t xml:space="preserve">(vodovod, plynovod, </w:t>
      </w:r>
      <w:proofErr w:type="spellStart"/>
      <w:r w:rsidRPr="00867E52">
        <w:t>Cetin</w:t>
      </w:r>
      <w:proofErr w:type="spellEnd"/>
      <w:r w:rsidRPr="00867E52">
        <w:t>). Z důvodu existence množství sítí v blízkém okolí nebo přímo v místě</w:t>
      </w:r>
    </w:p>
    <w:p w14:paraId="0A1ECEF5" w14:textId="77777777" w:rsidR="00867E52" w:rsidRPr="00867E52" w:rsidRDefault="00867E52" w:rsidP="00867E52">
      <w:pPr>
        <w:spacing w:after="0"/>
      </w:pPr>
      <w:r w:rsidRPr="00867E52">
        <w:t>výkopu, budou všechny výkopy prováděny ručně.</w:t>
      </w:r>
    </w:p>
    <w:p w14:paraId="5AF64593" w14:textId="77777777" w:rsidR="00867E52" w:rsidRPr="00867E52" w:rsidRDefault="00867E52" w:rsidP="00867E52">
      <w:pPr>
        <w:spacing w:after="0"/>
      </w:pPr>
      <w:r w:rsidRPr="00867E52">
        <w:t>Kolem západní a severní stěny bude proveden otevřený výkop. Šířka dna výkopu bude provedena min.</w:t>
      </w:r>
    </w:p>
    <w:p w14:paraId="34D7F790" w14:textId="77777777" w:rsidR="00867E52" w:rsidRPr="00867E52" w:rsidRDefault="00867E52" w:rsidP="00867E52">
      <w:pPr>
        <w:spacing w:after="0"/>
      </w:pPr>
      <w:r w:rsidRPr="00867E52">
        <w:t>600 mm a stěna bude svahována min. 1:3. U výkopu hl. větší než 1,3 m bude přivolán geolog pro posouzení</w:t>
      </w:r>
    </w:p>
    <w:p w14:paraId="5C411D03" w14:textId="77777777" w:rsidR="00867E52" w:rsidRPr="00867E52" w:rsidRDefault="00867E52" w:rsidP="00867E52">
      <w:pPr>
        <w:spacing w:after="0"/>
      </w:pPr>
      <w:r w:rsidRPr="00867E52">
        <w:t>typu a stavu zeminy a upřesnění sklonu svahování. Na základě vyjádření geologa bude výkop rozšířen. Část</w:t>
      </w:r>
    </w:p>
    <w:p w14:paraId="4902E3CA" w14:textId="77777777" w:rsidR="00867E52" w:rsidRPr="00867E52" w:rsidRDefault="00867E52" w:rsidP="00867E52">
      <w:pPr>
        <w:spacing w:after="0"/>
      </w:pPr>
      <w:r w:rsidRPr="00867E52">
        <w:t>zeminy bude odvezena na skládku, část bude deponována na určeném místě na pozemku stavby pro zpětný</w:t>
      </w:r>
    </w:p>
    <w:p w14:paraId="0EE9A536" w14:textId="77777777" w:rsidR="00867E52" w:rsidRPr="00867E52" w:rsidRDefault="00867E52" w:rsidP="00867E52">
      <w:pPr>
        <w:spacing w:after="0"/>
      </w:pPr>
      <w:r w:rsidRPr="00867E52">
        <w:t>zásyp. Ornice bude deponována zvlášť a bude použita na svrchní vrstvu v místě zatravnění. Výkop bude</w:t>
      </w:r>
    </w:p>
    <w:p w14:paraId="3473C084" w14:textId="24165DEC" w:rsidR="00867E52" w:rsidRDefault="00867E52" w:rsidP="00225B50">
      <w:pPr>
        <w:spacing w:after="0"/>
        <w:rPr>
          <w:b/>
          <w:bCs/>
        </w:rPr>
      </w:pPr>
      <w:r w:rsidRPr="00867E52">
        <w:t xml:space="preserve">odvodněn vyspádováním dna </w:t>
      </w:r>
      <w:r w:rsidR="00225B50">
        <w:t>tak</w:t>
      </w:r>
      <w:r w:rsidR="005603A3">
        <w:t>,</w:t>
      </w:r>
      <w:r w:rsidR="00225B50">
        <w:t xml:space="preserve"> ať </w:t>
      </w:r>
      <w:r w:rsidRPr="00867E52">
        <w:t>je možné vodu</w:t>
      </w:r>
      <w:r w:rsidR="00225B50">
        <w:t xml:space="preserve"> </w:t>
      </w:r>
      <w:r w:rsidRPr="00867E52">
        <w:t xml:space="preserve">nechat odtékat na terén. Délka výkopu </w:t>
      </w:r>
      <w:r w:rsidR="00225B50">
        <w:t xml:space="preserve">západní </w:t>
      </w:r>
      <w:r w:rsidRPr="00867E52">
        <w:t xml:space="preserve">části </w:t>
      </w:r>
      <w:r w:rsidR="00FD44C1">
        <w:t>16</w:t>
      </w:r>
      <w:r w:rsidRPr="00867E52">
        <w:t xml:space="preserve"> m + zavedení drenážního</w:t>
      </w:r>
      <w:r w:rsidR="00225B50">
        <w:t xml:space="preserve"> </w:t>
      </w:r>
      <w:r w:rsidRPr="00867E52">
        <w:t>potrubí</w:t>
      </w:r>
      <w:r w:rsidR="00225B50">
        <w:t xml:space="preserve"> do dešťové kanalizace.</w:t>
      </w:r>
    </w:p>
    <w:p w14:paraId="57AD4EC2" w14:textId="77777777" w:rsidR="00867E52" w:rsidRDefault="00867E52" w:rsidP="00BE74E8">
      <w:pPr>
        <w:rPr>
          <w:b/>
          <w:bCs/>
        </w:rPr>
      </w:pPr>
    </w:p>
    <w:p w14:paraId="2EB35B45" w14:textId="77777777" w:rsidR="00BE74E8" w:rsidRDefault="00225B50" w:rsidP="00BE74E8">
      <w:pPr>
        <w:rPr>
          <w:b/>
          <w:bCs/>
        </w:rPr>
      </w:pPr>
      <w:r w:rsidRPr="00225B50">
        <w:rPr>
          <w:b/>
          <w:bCs/>
        </w:rPr>
        <w:t>Bourací práce</w:t>
      </w:r>
    </w:p>
    <w:p w14:paraId="31C12409" w14:textId="77777777" w:rsidR="00225B50" w:rsidRDefault="00225B50" w:rsidP="00BE74E8">
      <w:r w:rsidRPr="00225B50">
        <w:t>Před zahájením stavební</w:t>
      </w:r>
      <w:r w:rsidR="004440F3">
        <w:t>ch</w:t>
      </w:r>
      <w:r w:rsidRPr="00225B50">
        <w:t xml:space="preserve"> prací budou provedeny bourací a demontážní práce.</w:t>
      </w:r>
      <w:r>
        <w:t xml:space="preserve"> V interiéru budovy budou vybourány okenní výplně vč. vnitřního parapetu. V prostoru společných sprch bude provedeno osekání keramického obkladu stěn a vybourání keramické dlažby. Část betonových podlah sprch bude vybourán</w:t>
      </w:r>
      <w:r w:rsidR="003C1A09">
        <w:t>a</w:t>
      </w:r>
      <w:r>
        <w:t xml:space="preserve"> pro nové podlahové vpusti. Vstupní dveře do sprch vč. kovové zárubně budou vybourány a na</w:t>
      </w:r>
      <w:r w:rsidR="001F1C7A">
        <w:t>h</w:t>
      </w:r>
      <w:r>
        <w:t xml:space="preserve">razeny novými. </w:t>
      </w:r>
    </w:p>
    <w:p w14:paraId="59902910" w14:textId="23B530A8" w:rsidR="001F1C7A" w:rsidRDefault="001F1C7A" w:rsidP="00BE74E8">
      <w:r>
        <w:t xml:space="preserve">V exteriéru budovy budou demontovány venkovní parapety a okenní mříže. Z východní strany objektu bude otlučena omítka soklu. V případě nutnosti bude odstraněna izolační přizdívka ze západní strany objektu. </w:t>
      </w:r>
    </w:p>
    <w:p w14:paraId="79186C14" w14:textId="38F72D4F" w:rsidR="007C12F9" w:rsidRDefault="007C12F9" w:rsidP="00BE74E8"/>
    <w:p w14:paraId="0A342FB5" w14:textId="77777777" w:rsidR="00553A38" w:rsidRDefault="00553A38" w:rsidP="00553A38">
      <w:pPr>
        <w:rPr>
          <w:b/>
          <w:bCs/>
        </w:rPr>
      </w:pPr>
      <w:r w:rsidRPr="00553A38">
        <w:rPr>
          <w:b/>
          <w:bCs/>
        </w:rPr>
        <w:t xml:space="preserve">Hydroizolace </w:t>
      </w:r>
    </w:p>
    <w:p w14:paraId="0F16DDD7" w14:textId="77777777" w:rsidR="00553A38" w:rsidRDefault="00553A38" w:rsidP="00553A38">
      <w:pPr>
        <w:spacing w:after="0"/>
      </w:pPr>
      <w:r>
        <w:t xml:space="preserve">Hydroizolace stěny bude provedena zvenku (z výkopu) o celkové délce </w:t>
      </w:r>
      <w:r w:rsidR="001F3ADD">
        <w:t xml:space="preserve">cca </w:t>
      </w:r>
      <w:r w:rsidR="00FD44C1" w:rsidRPr="00FD44C1">
        <w:t>16</w:t>
      </w:r>
      <w:r w:rsidRPr="00FD44C1">
        <w:t xml:space="preserve"> m.</w:t>
      </w:r>
      <w:r>
        <w:t xml:space="preserve"> </w:t>
      </w:r>
    </w:p>
    <w:p w14:paraId="7B494596" w14:textId="35757B1B" w:rsidR="00553A38" w:rsidRDefault="00553A38" w:rsidP="00553A38">
      <w:pPr>
        <w:spacing w:after="0"/>
      </w:pPr>
      <w:r>
        <w:t>Výkop bude oplocen mobilním oplocením tak, aby se zabránilo vstup</w:t>
      </w:r>
      <w:r w:rsidR="00B20033">
        <w:t>u</w:t>
      </w:r>
      <w:r>
        <w:t xml:space="preserve"> a pádu nepovolaných osob. Původní zdivo bude zbaveno stávající hydroizolační přizdívky, nesoudržných částí a očištěno. </w:t>
      </w:r>
      <w:r w:rsidR="001F3ADD">
        <w:t>Soudržný</w:t>
      </w:r>
      <w:r>
        <w:t xml:space="preserve"> povrch stěny bude </w:t>
      </w:r>
      <w:proofErr w:type="spellStart"/>
      <w:r>
        <w:t>napenetrován</w:t>
      </w:r>
      <w:proofErr w:type="spellEnd"/>
      <w:r>
        <w:t xml:space="preserve"> 2x asfaltovým penetračním lakem a opatřen </w:t>
      </w:r>
      <w:r w:rsidR="001F3ADD">
        <w:t>1</w:t>
      </w:r>
      <w:r>
        <w:t xml:space="preserve"> vrst</w:t>
      </w:r>
      <w:r w:rsidR="00B20033">
        <w:t>vou</w:t>
      </w:r>
      <w:r>
        <w:t xml:space="preserve"> </w:t>
      </w:r>
      <w:proofErr w:type="spellStart"/>
      <w:r>
        <w:t>asf</w:t>
      </w:r>
      <w:proofErr w:type="spellEnd"/>
      <w:r>
        <w:t xml:space="preserve">. lepenky z modifikovaného asfaltu. </w:t>
      </w:r>
    </w:p>
    <w:p w14:paraId="44FF8C72" w14:textId="53A99998" w:rsidR="00553A38" w:rsidRDefault="00553A38" w:rsidP="00553A38">
      <w:pPr>
        <w:spacing w:after="0"/>
      </w:pPr>
      <w:r>
        <w:t>Povrch hydroizolace bude opatřen ochrannou vrstvou z nopové fólie, ukončeno 300 mm nad U. T. Následně bude provedeno uložení drenážního perforované</w:t>
      </w:r>
      <w:r w:rsidR="00B20033">
        <w:t>ho</w:t>
      </w:r>
      <w:r>
        <w:t xml:space="preserve"> </w:t>
      </w:r>
      <w:r w:rsidR="00B20033">
        <w:t>p</w:t>
      </w:r>
      <w:r>
        <w:t>otrubí DN100 a drenážní zásyp kamenivem. Celý zásyp bude obalen geotextilií (500 g/m2). Drenážní potrubí bude provedeno z PVC-U pevných</w:t>
      </w:r>
      <w:bookmarkStart w:id="17" w:name="_Hlk103841407"/>
      <w:r w:rsidR="003C1A09">
        <w:t xml:space="preserve"> </w:t>
      </w:r>
      <w:r>
        <w:t>trubek oranžové barvy, obsyp z hutného drceného kamene frakce 8-16. Dále bude proveden zpětný zásyp</w:t>
      </w:r>
      <w:r w:rsidR="003C1A09">
        <w:t xml:space="preserve"> </w:t>
      </w:r>
      <w:r>
        <w:t xml:space="preserve">vykopanou zeminou. Nopová fólie bude ukončena systémovou ukončovací lištou. </w:t>
      </w:r>
    </w:p>
    <w:p w14:paraId="1ABBBC1F" w14:textId="5B782F68" w:rsidR="009B72E3" w:rsidRDefault="009B72E3" w:rsidP="00553A38">
      <w:pPr>
        <w:spacing w:after="0"/>
      </w:pPr>
      <w:r>
        <w:lastRenderedPageBreak/>
        <w:t>Po demontáž</w:t>
      </w:r>
      <w:r w:rsidR="00B20033">
        <w:t>i</w:t>
      </w:r>
      <w:r>
        <w:t xml:space="preserve"> </w:t>
      </w:r>
      <w:bookmarkEnd w:id="17"/>
      <w:r>
        <w:t>keramických obklad</w:t>
      </w:r>
      <w:r w:rsidR="00DE1D7B">
        <w:t>ů</w:t>
      </w:r>
      <w:r>
        <w:t xml:space="preserve"> a dlažeb sprch bude provedena hydroizolační stěrka na pevný podklad. Hydroizolační stěrka bude provedena ve dvou vrstvách např. TERIZOL. V místě rohů budou použity koutové pásky např. KERBI KEBA. </w:t>
      </w:r>
    </w:p>
    <w:p w14:paraId="2F2CA869" w14:textId="77777777" w:rsidR="009B72E3" w:rsidRDefault="009B72E3" w:rsidP="00553A38">
      <w:pPr>
        <w:spacing w:after="0"/>
      </w:pPr>
    </w:p>
    <w:p w14:paraId="5F4591FE" w14:textId="77777777" w:rsidR="009B72E3" w:rsidRPr="009B72E3" w:rsidRDefault="009B72E3" w:rsidP="00553A38">
      <w:pPr>
        <w:spacing w:after="0"/>
        <w:rPr>
          <w:b/>
          <w:bCs/>
        </w:rPr>
      </w:pPr>
      <w:r>
        <w:rPr>
          <w:b/>
          <w:bCs/>
        </w:rPr>
        <w:t xml:space="preserve">Úprava vnitřních povrchů </w:t>
      </w:r>
    </w:p>
    <w:p w14:paraId="0AFEB2EA" w14:textId="77777777" w:rsidR="009B72E3" w:rsidRDefault="009B72E3" w:rsidP="009B72E3">
      <w:r>
        <w:t xml:space="preserve">V prostoru sprch bude provedena oprava vnitřních hrubých omítek.  </w:t>
      </w:r>
    </w:p>
    <w:p w14:paraId="6822753A" w14:textId="2337BAB9" w:rsidR="009B72E3" w:rsidRPr="00343BAF" w:rsidRDefault="009B72E3" w:rsidP="009B72E3">
      <w:r w:rsidRPr="00343BAF">
        <w:t>Nově vytvořené vnitřní plochy obvodových konstrukcí (ostění, nadpraží,</w:t>
      </w:r>
      <w:r>
        <w:t xml:space="preserve"> </w:t>
      </w:r>
      <w:r w:rsidRPr="00343BAF">
        <w:t xml:space="preserve">parapety), případně poškozené plochy, budou opatřeny jádrovou interiérovou omítkou vhodnou pro ruční zpracování. Po provedení penetrace podkladu bude provedena jádrová omítka, jejíž povrch bude vyhlazen. Povrch celého ostění bude zušlechtěn novou finální štukovou omítkou </w:t>
      </w:r>
      <w:proofErr w:type="spellStart"/>
      <w:r w:rsidRPr="00343BAF">
        <w:t>tl</w:t>
      </w:r>
      <w:proofErr w:type="spellEnd"/>
      <w:r w:rsidRPr="00343BAF">
        <w:t>. 2,0</w:t>
      </w:r>
      <w:r w:rsidR="00CC6322">
        <w:t xml:space="preserve"> </w:t>
      </w:r>
      <w:r w:rsidRPr="00343BAF">
        <w:t>mm (</w:t>
      </w:r>
      <w:proofErr w:type="spellStart"/>
      <w:r w:rsidRPr="00343BAF">
        <w:t>filcovanou</w:t>
      </w:r>
      <w:proofErr w:type="spellEnd"/>
      <w:r w:rsidRPr="00343BAF">
        <w:t>). V případě výrazně nižšího ostění a nadpraží (více jak 35</w:t>
      </w:r>
      <w:r w:rsidR="00CC6322">
        <w:t xml:space="preserve"> </w:t>
      </w:r>
      <w:r w:rsidRPr="00343BAF">
        <w:t xml:space="preserve">mm) v interiéru oproti exteriéru bude v rámci zednických prací doplněno o přířez EPS, který bude </w:t>
      </w:r>
      <w:proofErr w:type="spellStart"/>
      <w:r w:rsidRPr="00343BAF">
        <w:t>přestěrkován</w:t>
      </w:r>
      <w:proofErr w:type="spellEnd"/>
      <w:r w:rsidRPr="00343BAF">
        <w:t xml:space="preserve"> včetně výztužné síťoviny s napojením na stávající konstrukci.</w:t>
      </w:r>
    </w:p>
    <w:p w14:paraId="0CF81115" w14:textId="5E6A9AD4" w:rsidR="009B72E3" w:rsidRDefault="009B72E3" w:rsidP="009B72E3">
      <w:pPr>
        <w:spacing w:after="0"/>
      </w:pPr>
      <w:r w:rsidRPr="00343BAF">
        <w:tab/>
        <w:t>Pro styk okenního rámu a nově opravovaného okenního ostění bude použit</w:t>
      </w:r>
      <w:r w:rsidR="00CC6322">
        <w:t>a</w:t>
      </w:r>
      <w:r w:rsidRPr="00343BAF">
        <w:t xml:space="preserve"> připojovací okenní APU lišt</w:t>
      </w:r>
      <w:r w:rsidR="00CC6322">
        <w:t>a</w:t>
      </w:r>
      <w:r w:rsidRPr="00343BAF">
        <w:t xml:space="preserve"> 9</w:t>
      </w:r>
      <w:r w:rsidR="00CC6322">
        <w:t xml:space="preserve"> </w:t>
      </w:r>
      <w:r w:rsidRPr="00343BAF">
        <w:t>mm.</w:t>
      </w:r>
      <w:r>
        <w:t xml:space="preserve"> </w:t>
      </w:r>
      <w:r w:rsidRPr="00343BAF">
        <w:t xml:space="preserve">Penetrace podkladu bude provedena </w:t>
      </w:r>
      <w:proofErr w:type="spellStart"/>
      <w:r w:rsidRPr="00343BAF">
        <w:t>bezrouzpouštědlovým</w:t>
      </w:r>
      <w:proofErr w:type="spellEnd"/>
      <w:r w:rsidRPr="00343BAF">
        <w:t xml:space="preserve"> přípravkem na bázi polymerní disperze a minerálních plniv. Podklad musí být pevný, suchý, bez prachu a nesoudržných částí, resp. bez </w:t>
      </w:r>
      <w:proofErr w:type="spellStart"/>
      <w:r w:rsidRPr="00343BAF">
        <w:t>filmotvorných</w:t>
      </w:r>
      <w:proofErr w:type="spellEnd"/>
      <w:r w:rsidRPr="00343BAF">
        <w:t xml:space="preserve"> hmot se separačním účinkem.</w:t>
      </w:r>
      <w:r>
        <w:t xml:space="preserve"> </w:t>
      </w:r>
      <w:r w:rsidRPr="00343BAF">
        <w:t>Po aplikaci penetrace bude provedena dle stávající povrchové úpravy štuková omítka (</w:t>
      </w:r>
      <w:proofErr w:type="spellStart"/>
      <w:r w:rsidRPr="00343BAF">
        <w:t>filcovaná</w:t>
      </w:r>
      <w:proofErr w:type="spellEnd"/>
      <w:r w:rsidRPr="00343BAF">
        <w:t>). Podklad musí být vyzrálý, nosný, suchý, zbavený prachu, mastnoty a ostatních nečistot.</w:t>
      </w:r>
      <w:r>
        <w:t xml:space="preserve"> </w:t>
      </w:r>
      <w:r w:rsidRPr="00343BAF">
        <w:t>Vnitřní plochy v okolí ploch dotčených výměnou oken budou vymalovány</w:t>
      </w:r>
      <w:r>
        <w:t>.</w:t>
      </w:r>
    </w:p>
    <w:p w14:paraId="3AC2A2C3" w14:textId="57EAF452" w:rsidR="007C12F9" w:rsidRDefault="007C12F9" w:rsidP="009B72E3">
      <w:pPr>
        <w:spacing w:after="0"/>
      </w:pPr>
    </w:p>
    <w:p w14:paraId="39E50857" w14:textId="73FC41BA" w:rsidR="007C12F9" w:rsidRPr="009B72E3" w:rsidRDefault="007C12F9" w:rsidP="007C12F9">
      <w:pPr>
        <w:spacing w:after="0"/>
        <w:rPr>
          <w:b/>
          <w:bCs/>
        </w:rPr>
      </w:pPr>
      <w:r>
        <w:rPr>
          <w:b/>
          <w:bCs/>
        </w:rPr>
        <w:t xml:space="preserve">Úprava vnějších povrchů </w:t>
      </w:r>
    </w:p>
    <w:p w14:paraId="3A03BA69" w14:textId="77777777" w:rsidR="007C12F9" w:rsidRDefault="007C12F9" w:rsidP="007C12F9">
      <w:r>
        <w:t>Příprava podkladů – čištění</w:t>
      </w:r>
    </w:p>
    <w:p w14:paraId="23B41265" w14:textId="4581A543" w:rsidR="009B72E3" w:rsidRDefault="007C12F9" w:rsidP="007C12F9">
      <w:r>
        <w:t>Důkladné mechanické očištění podkladů, odstranění všech nesoudržných, degradovaných částí fasády (oškrabání, osekání, broušení atp.) Pro kvalitnější přípravu podkladů, odstranění atmosférických nečistot a usazenin, následně provést omytí tlakovou vodou.</w:t>
      </w:r>
    </w:p>
    <w:p w14:paraId="028EF1D7" w14:textId="7A2E8B1C" w:rsidR="007C12F9" w:rsidRPr="007C12F9" w:rsidRDefault="007C12F9" w:rsidP="007C12F9">
      <w:pPr>
        <w:rPr>
          <w:b/>
          <w:bCs/>
        </w:rPr>
      </w:pPr>
      <w:r>
        <w:rPr>
          <w:b/>
          <w:bCs/>
        </w:rPr>
        <w:tab/>
      </w:r>
      <w:r w:rsidRPr="007C12F9">
        <w:rPr>
          <w:b/>
          <w:bCs/>
        </w:rPr>
        <w:t>Sokl</w:t>
      </w:r>
    </w:p>
    <w:p w14:paraId="19ADDC00" w14:textId="024917CE" w:rsidR="007C12F9" w:rsidRDefault="007C12F9" w:rsidP="007C12F9">
      <w:r>
        <w:t>Po odstranění p</w:t>
      </w:r>
      <w:r w:rsidRPr="00B80345">
        <w:t>ůvodní omítk</w:t>
      </w:r>
      <w:r>
        <w:t xml:space="preserve">y se provede odstranění </w:t>
      </w:r>
      <w:r w:rsidRPr="00B80345">
        <w:t>rozpadlé</w:t>
      </w:r>
      <w:r>
        <w:t xml:space="preserve">ho </w:t>
      </w:r>
      <w:r w:rsidRPr="00B80345">
        <w:t>zdiv</w:t>
      </w:r>
      <w:r>
        <w:t>a</w:t>
      </w:r>
      <w:r w:rsidRPr="00B80345">
        <w:t>. Okopaný materiál odstranit z pracovní zóny. Vzniklé velké nerovnosti nebo otvory vyčistit, vyspárov</w:t>
      </w:r>
      <w:r>
        <w:t>a</w:t>
      </w:r>
      <w:r w:rsidRPr="00B80345">
        <w:t>t touto maltou nebo vyzdít. Nakonec je nutné celou plochu, která má být opatřena sanační omítkou, mechanicky očistit (např. ocelovým kartáčem). Před vlastní aplikací sanačního postřiku je nutné plochu navlhčit čistou vodou.</w:t>
      </w:r>
      <w:r>
        <w:t xml:space="preserve"> Nutno použít vápenné sanační omítky, splňující směrnici WTA. </w:t>
      </w:r>
    </w:p>
    <w:p w14:paraId="5B3325D5" w14:textId="77777777" w:rsidR="007C12F9" w:rsidRDefault="007C12F9" w:rsidP="007C12F9">
      <w:pPr>
        <w:spacing w:after="0"/>
      </w:pPr>
      <w:r w:rsidRPr="00B83B5A">
        <w:rPr>
          <w:b/>
          <w:bCs/>
        </w:rPr>
        <w:t>Požadavky na vlastnosti – technická specifikace materiálu a použití</w:t>
      </w:r>
      <w:r>
        <w:t xml:space="preserve">: </w:t>
      </w:r>
    </w:p>
    <w:p w14:paraId="543F3D2F" w14:textId="77777777" w:rsidR="007C12F9" w:rsidRDefault="007C12F9" w:rsidP="007C12F9">
      <w:pPr>
        <w:pStyle w:val="Odstavecseseznamem"/>
        <w:numPr>
          <w:ilvl w:val="0"/>
          <w:numId w:val="9"/>
        </w:numPr>
        <w:spacing w:after="0"/>
      </w:pPr>
      <w:r>
        <w:t xml:space="preserve">Suchá omítková směs určená pro podkladní postřik pod sanační omítky, pro ruční zpracování. Hmota na bázi anorganických pojiv, plniv a modifikujících přísad. Omítka splňuje požadavky na </w:t>
      </w:r>
      <w:proofErr w:type="spellStart"/>
      <w:r>
        <w:t>podhoz</w:t>
      </w:r>
      <w:proofErr w:type="spellEnd"/>
      <w:r>
        <w:t xml:space="preserve"> podle směrnice WTA 2-9-04 čl. 4.1.</w:t>
      </w:r>
    </w:p>
    <w:p w14:paraId="57971CA7" w14:textId="7AF3A63F" w:rsidR="007C12F9" w:rsidRDefault="007C12F9" w:rsidP="007C12F9">
      <w:r>
        <w:tab/>
        <w:t>Zrnitost: 0,4 mm</w:t>
      </w:r>
    </w:p>
    <w:p w14:paraId="0BDB86E7" w14:textId="77777777" w:rsidR="007C12F9" w:rsidRPr="007C12F9" w:rsidRDefault="007C12F9" w:rsidP="007C12F9">
      <w:pPr>
        <w:spacing w:after="0"/>
      </w:pPr>
      <w:r w:rsidRPr="007C12F9">
        <w:rPr>
          <w:b/>
          <w:bCs/>
        </w:rPr>
        <w:t xml:space="preserve">Vyrovnávací vrstva </w:t>
      </w:r>
    </w:p>
    <w:p w14:paraId="7FD2FAE5" w14:textId="77777777" w:rsidR="007C12F9" w:rsidRDefault="007C12F9" w:rsidP="007C12F9">
      <w:pPr>
        <w:spacing w:after="0"/>
      </w:pPr>
      <w:r>
        <w:t xml:space="preserve">Pro doplnění a vyrovnání pokladu je nutno provést vyrovnávací vrstvu.  </w:t>
      </w:r>
      <w:r w:rsidRPr="00AC0EC4">
        <w:t>Základní porézní omítka vyrovnávací WTA slouží k zachycení solí při vysokém stupni zasolení podkladu a snižuje možnost prostupu uvolněných solí do následné vrstvy sanační omítky na fasádách a vnitřních plochách.</w:t>
      </w:r>
      <w:r>
        <w:t xml:space="preserve"> </w:t>
      </w:r>
      <w:r w:rsidRPr="00AC0EC4">
        <w:t>Podklad pro omítání musí být vyčištěný od prachu, výkvětů a uvolněných částí. Kontrola podkladu se provádí podle platných směrnic. Starou vlhkou omítku je třeba oklepat do vzdálenosti alespoň 1 m od okrajů vlhkých míst. Změklé, uvolněné nebo zpuchřelé části zdiva odstraňte. Původní zdivo vyčistěte a odpovídajícím způsobem dozděte.</w:t>
      </w:r>
    </w:p>
    <w:p w14:paraId="5BF01F1F" w14:textId="77777777" w:rsidR="007C12F9" w:rsidRDefault="007C12F9" w:rsidP="007C12F9">
      <w:pPr>
        <w:spacing w:after="0"/>
      </w:pPr>
    </w:p>
    <w:p w14:paraId="25E6D2E3" w14:textId="77777777" w:rsidR="007C12F9" w:rsidRPr="00AC0EC4" w:rsidRDefault="007C12F9" w:rsidP="007C12F9">
      <w:pPr>
        <w:spacing w:after="0"/>
        <w:rPr>
          <w:b/>
          <w:bCs/>
        </w:rPr>
      </w:pPr>
      <w:r w:rsidRPr="00AC0EC4">
        <w:rPr>
          <w:b/>
          <w:bCs/>
        </w:rPr>
        <w:t xml:space="preserve">Požadavky na vlastnosti – technická specifikace materiálu a použití: </w:t>
      </w:r>
    </w:p>
    <w:p w14:paraId="23351426" w14:textId="77777777" w:rsidR="007C12F9" w:rsidRPr="00AC0EC4" w:rsidRDefault="007C12F9" w:rsidP="007C12F9">
      <w:pPr>
        <w:pStyle w:val="Odstavecseseznamem"/>
        <w:numPr>
          <w:ilvl w:val="0"/>
          <w:numId w:val="10"/>
        </w:numPr>
        <w:spacing w:after="0"/>
        <w:rPr>
          <w:bCs/>
        </w:rPr>
      </w:pPr>
      <w:r>
        <w:t xml:space="preserve">pevnost odpovídá třídě malty CS </w:t>
      </w:r>
      <w:proofErr w:type="gramStart"/>
      <w:r>
        <w:t>II</w:t>
      </w:r>
      <w:proofErr w:type="gramEnd"/>
      <w:r>
        <w:t xml:space="preserve"> resp. P II podle DIN V 18550 </w:t>
      </w:r>
    </w:p>
    <w:p w14:paraId="4652CCCC" w14:textId="77777777" w:rsidR="007C12F9" w:rsidRPr="00AC0EC4" w:rsidRDefault="007C12F9" w:rsidP="007C12F9">
      <w:pPr>
        <w:pStyle w:val="Odstavecseseznamem"/>
        <w:numPr>
          <w:ilvl w:val="0"/>
          <w:numId w:val="10"/>
        </w:numPr>
        <w:spacing w:after="0"/>
        <w:rPr>
          <w:bCs/>
        </w:rPr>
      </w:pPr>
      <w:r>
        <w:t xml:space="preserve">ruční i strojní zpracování </w:t>
      </w:r>
    </w:p>
    <w:p w14:paraId="71878386" w14:textId="77777777" w:rsidR="007C12F9" w:rsidRPr="00AC0EC4" w:rsidRDefault="007C12F9" w:rsidP="007C12F9">
      <w:pPr>
        <w:pStyle w:val="Odstavecseseznamem"/>
        <w:numPr>
          <w:ilvl w:val="0"/>
          <w:numId w:val="10"/>
        </w:numPr>
        <w:spacing w:after="0"/>
        <w:rPr>
          <w:bCs/>
        </w:rPr>
      </w:pPr>
      <w:r>
        <w:t xml:space="preserve">zrnitost: </w:t>
      </w:r>
      <w:proofErr w:type="gramStart"/>
      <w:r>
        <w:t>2mm</w:t>
      </w:r>
      <w:proofErr w:type="gramEnd"/>
      <w:r>
        <w:t xml:space="preserve"> </w:t>
      </w:r>
    </w:p>
    <w:p w14:paraId="76CDAE94" w14:textId="77777777" w:rsidR="007C12F9" w:rsidRPr="00AC0EC4" w:rsidRDefault="007C12F9" w:rsidP="007C12F9">
      <w:pPr>
        <w:pStyle w:val="Odstavecseseznamem"/>
        <w:numPr>
          <w:ilvl w:val="0"/>
          <w:numId w:val="10"/>
        </w:numPr>
        <w:spacing w:after="0"/>
        <w:rPr>
          <w:bCs/>
        </w:rPr>
      </w:pPr>
      <w:r>
        <w:t xml:space="preserve">pevnost v tlaku: 4,8 </w:t>
      </w:r>
      <w:proofErr w:type="spellStart"/>
      <w:r>
        <w:t>MPa</w:t>
      </w:r>
      <w:proofErr w:type="spellEnd"/>
      <w:r>
        <w:t xml:space="preserve">  </w:t>
      </w:r>
    </w:p>
    <w:p w14:paraId="4BAF4A31" w14:textId="77777777" w:rsidR="007C12F9" w:rsidRPr="00AC0EC4" w:rsidRDefault="007C12F9" w:rsidP="007C12F9">
      <w:pPr>
        <w:pStyle w:val="Odstavecseseznamem"/>
        <w:numPr>
          <w:ilvl w:val="0"/>
          <w:numId w:val="10"/>
        </w:numPr>
        <w:spacing w:after="0"/>
        <w:rPr>
          <w:bCs/>
        </w:rPr>
      </w:pPr>
      <w:r>
        <w:t xml:space="preserve">chování při požáru: A1 </w:t>
      </w:r>
    </w:p>
    <w:p w14:paraId="1EBE1F55" w14:textId="77777777" w:rsidR="007C12F9" w:rsidRPr="00AC0EC4" w:rsidRDefault="007C12F9" w:rsidP="007C12F9">
      <w:pPr>
        <w:pStyle w:val="Odstavecseseznamem"/>
        <w:numPr>
          <w:ilvl w:val="0"/>
          <w:numId w:val="10"/>
        </w:numPr>
        <w:spacing w:after="0"/>
        <w:rPr>
          <w:bCs/>
        </w:rPr>
      </w:pPr>
      <w:r>
        <w:lastRenderedPageBreak/>
        <w:t xml:space="preserve">propustnost pro vodní </w:t>
      </w:r>
      <w:proofErr w:type="gramStart"/>
      <w:r>
        <w:t>páru:  µ</w:t>
      </w:r>
      <w:proofErr w:type="gramEnd"/>
      <w:r>
        <w:t>max 15</w:t>
      </w:r>
    </w:p>
    <w:p w14:paraId="7EC4B812" w14:textId="77777777" w:rsidR="007C12F9" w:rsidRPr="00AC0EC4" w:rsidRDefault="007C12F9" w:rsidP="007C12F9">
      <w:pPr>
        <w:pStyle w:val="Odstavecseseznamem"/>
        <w:numPr>
          <w:ilvl w:val="0"/>
          <w:numId w:val="10"/>
        </w:numPr>
        <w:spacing w:after="0"/>
        <w:rPr>
          <w:bCs/>
        </w:rPr>
      </w:pPr>
      <w:r>
        <w:t>teplená vodivost: 0,28 W/</w:t>
      </w:r>
      <w:proofErr w:type="spellStart"/>
      <w:proofErr w:type="gramStart"/>
      <w:r>
        <w:t>m.K</w:t>
      </w:r>
      <w:proofErr w:type="spellEnd"/>
      <w:proofErr w:type="gramEnd"/>
      <w:r>
        <w:t xml:space="preserve">  </w:t>
      </w:r>
    </w:p>
    <w:p w14:paraId="5BD69395" w14:textId="77777777" w:rsidR="007C12F9" w:rsidRPr="00AC0EC4" w:rsidRDefault="007C12F9" w:rsidP="007C12F9">
      <w:pPr>
        <w:pStyle w:val="Odstavecseseznamem"/>
        <w:numPr>
          <w:ilvl w:val="0"/>
          <w:numId w:val="10"/>
        </w:numPr>
        <w:spacing w:after="0"/>
        <w:rPr>
          <w:bCs/>
        </w:rPr>
      </w:pPr>
      <w:r>
        <w:t xml:space="preserve">absorpce vody: min 0,3 </w:t>
      </w:r>
    </w:p>
    <w:p w14:paraId="51E89D82" w14:textId="77777777" w:rsidR="007C12F9" w:rsidRDefault="007C12F9" w:rsidP="007C12F9">
      <w:pPr>
        <w:spacing w:after="0"/>
        <w:rPr>
          <w:bCs/>
          <w:lang w:eastAsia="en-US"/>
        </w:rPr>
      </w:pPr>
    </w:p>
    <w:p w14:paraId="63EF7105" w14:textId="77777777" w:rsidR="007C12F9" w:rsidRDefault="007C12F9" w:rsidP="007C12F9">
      <w:pPr>
        <w:spacing w:after="0"/>
        <w:rPr>
          <w:b/>
          <w:bCs/>
          <w:u w:val="single"/>
        </w:rPr>
      </w:pPr>
      <w:r>
        <w:rPr>
          <w:b/>
          <w:bCs/>
          <w:u w:val="single"/>
        </w:rPr>
        <w:t xml:space="preserve">Sanační omítka </w:t>
      </w:r>
    </w:p>
    <w:p w14:paraId="73CFC320" w14:textId="77777777" w:rsidR="007C12F9" w:rsidRDefault="007C12F9" w:rsidP="007C12F9">
      <w:pPr>
        <w:spacing w:after="0"/>
      </w:pPr>
      <w:r>
        <w:t xml:space="preserve">Průmyslově vyráběná suchá minerální maltová směs určená pro použití jako sanační omítka v omítkovém sanačním systému WTA, vhodná pro ruční i strojní zpracování. Cement, tříděné minerální příměsi, lehké minerální plnivo, přísady pro lepší zpracovatelnost. Splňuje požadavky směrnice WTA 2-9-04/D. </w:t>
      </w:r>
    </w:p>
    <w:p w14:paraId="047D9B90" w14:textId="77777777" w:rsidR="007C12F9" w:rsidRDefault="007C12F9" w:rsidP="007C12F9">
      <w:pPr>
        <w:spacing w:after="0"/>
      </w:pPr>
    </w:p>
    <w:p w14:paraId="61C59D61" w14:textId="77777777" w:rsidR="007C12F9" w:rsidRPr="00AC0EC4" w:rsidRDefault="007C12F9" w:rsidP="007C12F9">
      <w:pPr>
        <w:spacing w:after="0"/>
        <w:rPr>
          <w:b/>
          <w:bCs/>
        </w:rPr>
      </w:pPr>
      <w:r w:rsidRPr="00AC0EC4">
        <w:rPr>
          <w:b/>
          <w:bCs/>
        </w:rPr>
        <w:t xml:space="preserve">Požadavky na vlastnosti – technická specifikace materiálu a použití: </w:t>
      </w:r>
    </w:p>
    <w:p w14:paraId="753389AC" w14:textId="77777777" w:rsidR="007C12F9" w:rsidRPr="00AC0EC4" w:rsidRDefault="007C12F9" w:rsidP="007C12F9">
      <w:pPr>
        <w:pStyle w:val="Odstavecseseznamem"/>
        <w:numPr>
          <w:ilvl w:val="0"/>
          <w:numId w:val="10"/>
        </w:numPr>
        <w:spacing w:after="0"/>
        <w:rPr>
          <w:bCs/>
        </w:rPr>
      </w:pPr>
      <w:r>
        <w:t>technická specifikace odpovídá EN 998-1</w:t>
      </w:r>
    </w:p>
    <w:p w14:paraId="553579DA" w14:textId="77777777" w:rsidR="007C12F9" w:rsidRPr="00AC0EC4" w:rsidRDefault="007C12F9" w:rsidP="007C12F9">
      <w:pPr>
        <w:pStyle w:val="Odstavecseseznamem"/>
        <w:numPr>
          <w:ilvl w:val="0"/>
          <w:numId w:val="10"/>
        </w:numPr>
        <w:spacing w:after="0"/>
        <w:rPr>
          <w:bCs/>
        </w:rPr>
      </w:pPr>
      <w:r>
        <w:t xml:space="preserve">ruční i strojní zpracování </w:t>
      </w:r>
    </w:p>
    <w:p w14:paraId="7F908F76" w14:textId="77777777" w:rsidR="007C12F9" w:rsidRPr="00AC0EC4" w:rsidRDefault="007C12F9" w:rsidP="007C12F9">
      <w:pPr>
        <w:pStyle w:val="Odstavecseseznamem"/>
        <w:numPr>
          <w:ilvl w:val="0"/>
          <w:numId w:val="10"/>
        </w:numPr>
        <w:spacing w:after="0"/>
        <w:rPr>
          <w:bCs/>
        </w:rPr>
      </w:pPr>
      <w:r>
        <w:t xml:space="preserve">zrnitost: </w:t>
      </w:r>
      <w:proofErr w:type="gramStart"/>
      <w:r>
        <w:t>2mm</w:t>
      </w:r>
      <w:proofErr w:type="gramEnd"/>
      <w:r>
        <w:t xml:space="preserve"> </w:t>
      </w:r>
    </w:p>
    <w:p w14:paraId="67DC97F4" w14:textId="77777777" w:rsidR="007C12F9" w:rsidRPr="00AC0EC4" w:rsidRDefault="007C12F9" w:rsidP="007C12F9">
      <w:pPr>
        <w:pStyle w:val="Odstavecseseznamem"/>
        <w:numPr>
          <w:ilvl w:val="0"/>
          <w:numId w:val="10"/>
        </w:numPr>
        <w:spacing w:after="0"/>
        <w:rPr>
          <w:bCs/>
        </w:rPr>
      </w:pPr>
      <w:r>
        <w:t xml:space="preserve">pevnost v tlaku: 2,9 </w:t>
      </w:r>
      <w:proofErr w:type="spellStart"/>
      <w:r>
        <w:t>MPa</w:t>
      </w:r>
      <w:proofErr w:type="spellEnd"/>
      <w:r>
        <w:t xml:space="preserve">  </w:t>
      </w:r>
    </w:p>
    <w:p w14:paraId="14BE4FAC" w14:textId="77777777" w:rsidR="007C12F9" w:rsidRPr="00AC0EC4" w:rsidRDefault="007C12F9" w:rsidP="007C12F9">
      <w:pPr>
        <w:pStyle w:val="Odstavecseseznamem"/>
        <w:numPr>
          <w:ilvl w:val="0"/>
          <w:numId w:val="10"/>
        </w:numPr>
        <w:spacing w:after="0"/>
        <w:rPr>
          <w:bCs/>
        </w:rPr>
      </w:pPr>
      <w:r>
        <w:t xml:space="preserve">chování při požáru: A1 </w:t>
      </w:r>
    </w:p>
    <w:p w14:paraId="64033FC4" w14:textId="77777777" w:rsidR="007C12F9" w:rsidRPr="00AC0EC4" w:rsidRDefault="007C12F9" w:rsidP="007C12F9">
      <w:pPr>
        <w:pStyle w:val="Odstavecseseznamem"/>
        <w:numPr>
          <w:ilvl w:val="0"/>
          <w:numId w:val="10"/>
        </w:numPr>
        <w:spacing w:after="0"/>
        <w:rPr>
          <w:bCs/>
        </w:rPr>
      </w:pPr>
      <w:r>
        <w:t xml:space="preserve">propustnost pro vodní </w:t>
      </w:r>
      <w:proofErr w:type="gramStart"/>
      <w:r>
        <w:t>páru:  µ</w:t>
      </w:r>
      <w:proofErr w:type="gramEnd"/>
      <w:r>
        <w:t>max 15</w:t>
      </w:r>
    </w:p>
    <w:p w14:paraId="6BB22A93" w14:textId="77777777" w:rsidR="007C12F9" w:rsidRPr="00AC0EC4" w:rsidRDefault="007C12F9" w:rsidP="007C12F9">
      <w:pPr>
        <w:pStyle w:val="Odstavecseseznamem"/>
        <w:numPr>
          <w:ilvl w:val="0"/>
          <w:numId w:val="10"/>
        </w:numPr>
        <w:spacing w:after="0"/>
        <w:rPr>
          <w:bCs/>
        </w:rPr>
      </w:pPr>
      <w:r>
        <w:t>teplená vodivost: 0,23 W/</w:t>
      </w:r>
      <w:proofErr w:type="spellStart"/>
      <w:proofErr w:type="gramStart"/>
      <w:r>
        <w:t>m.K</w:t>
      </w:r>
      <w:proofErr w:type="spellEnd"/>
      <w:proofErr w:type="gramEnd"/>
      <w:r>
        <w:t xml:space="preserve">  </w:t>
      </w:r>
    </w:p>
    <w:p w14:paraId="2D184A95" w14:textId="77777777" w:rsidR="007C12F9" w:rsidRPr="00447755" w:rsidRDefault="007C12F9" w:rsidP="007C12F9">
      <w:pPr>
        <w:pStyle w:val="Odstavecseseznamem"/>
        <w:numPr>
          <w:ilvl w:val="0"/>
          <w:numId w:val="10"/>
        </w:numPr>
        <w:spacing w:after="0"/>
        <w:rPr>
          <w:bCs/>
        </w:rPr>
      </w:pPr>
      <w:r>
        <w:t xml:space="preserve">absorpce vody: min 0,3 </w:t>
      </w:r>
    </w:p>
    <w:p w14:paraId="17F1EF4D" w14:textId="77777777" w:rsidR="007C12F9" w:rsidRPr="00447755" w:rsidRDefault="007C12F9" w:rsidP="007C12F9">
      <w:pPr>
        <w:pStyle w:val="Odstavecseseznamem"/>
        <w:numPr>
          <w:ilvl w:val="0"/>
          <w:numId w:val="10"/>
        </w:numPr>
        <w:spacing w:after="0"/>
        <w:rPr>
          <w:bCs/>
        </w:rPr>
      </w:pPr>
      <w:r>
        <w:t xml:space="preserve">objemová hmotnost </w:t>
      </w:r>
      <w:proofErr w:type="gramStart"/>
      <w:r>
        <w:t>1270kg</w:t>
      </w:r>
      <w:proofErr w:type="gramEnd"/>
      <w:r>
        <w:t>/m</w:t>
      </w:r>
      <w:r>
        <w:rPr>
          <w:vertAlign w:val="superscript"/>
        </w:rPr>
        <w:t>3</w:t>
      </w:r>
    </w:p>
    <w:p w14:paraId="703DBF29" w14:textId="3A9D888E" w:rsidR="007C12F9" w:rsidRDefault="00F9333B" w:rsidP="007C12F9">
      <w:r>
        <w:t xml:space="preserve">Po dokončení opravy soklu sanační omítkou bude namontován podkladní rošt, na který bude následně namontováno obložení z cementotřískové desky </w:t>
      </w:r>
      <w:proofErr w:type="gramStart"/>
      <w:r>
        <w:t>22mm</w:t>
      </w:r>
      <w:proofErr w:type="gramEnd"/>
      <w:r>
        <w:t xml:space="preserve">.  </w:t>
      </w:r>
    </w:p>
    <w:p w14:paraId="67A2059B" w14:textId="4A4A60F0" w:rsidR="00F9333B" w:rsidRPr="007C12F9" w:rsidRDefault="00F9333B" w:rsidP="00F9333B">
      <w:pPr>
        <w:rPr>
          <w:b/>
          <w:bCs/>
        </w:rPr>
      </w:pPr>
      <w:r>
        <w:rPr>
          <w:b/>
          <w:bCs/>
        </w:rPr>
        <w:tab/>
        <w:t xml:space="preserve">Fasáda </w:t>
      </w:r>
    </w:p>
    <w:p w14:paraId="6485AD67" w14:textId="30018F16" w:rsidR="00F9333B" w:rsidRDefault="00F9333B" w:rsidP="007C12F9">
      <w:r>
        <w:t>Po provedení očištění a opravy poškozených ploch hlavní fasády bude provedena penetrace podkladu a 2x nátěr fasády. Odstín bude předložen objedna</w:t>
      </w:r>
      <w:r w:rsidR="000919D9">
        <w:t>teli</w:t>
      </w:r>
      <w:r>
        <w:t xml:space="preserve"> k odsouhlasení. </w:t>
      </w:r>
    </w:p>
    <w:p w14:paraId="26DEE82E" w14:textId="77777777" w:rsidR="007C12F9" w:rsidRDefault="007C12F9" w:rsidP="007C12F9">
      <w:pPr>
        <w:rPr>
          <w:b/>
          <w:bCs/>
        </w:rPr>
      </w:pPr>
    </w:p>
    <w:p w14:paraId="4E327645" w14:textId="77777777" w:rsidR="00553A38" w:rsidRDefault="00D37065" w:rsidP="00BE74E8">
      <w:pPr>
        <w:rPr>
          <w:b/>
          <w:bCs/>
        </w:rPr>
      </w:pPr>
      <w:r>
        <w:rPr>
          <w:b/>
          <w:bCs/>
        </w:rPr>
        <w:t>Okna</w:t>
      </w:r>
      <w:r w:rsidRPr="008A2987">
        <w:rPr>
          <w:b/>
          <w:bCs/>
        </w:rPr>
        <w:t>:</w:t>
      </w:r>
    </w:p>
    <w:p w14:paraId="00F01D25" w14:textId="45447A8D" w:rsidR="00F633A4" w:rsidRPr="00F633A4" w:rsidRDefault="00AB2713" w:rsidP="00F633A4">
      <w:r>
        <w:t>P</w:t>
      </w:r>
      <w:r w:rsidR="00322168">
        <w:t>ůvodní</w:t>
      </w:r>
      <w:r w:rsidR="00066CC4">
        <w:t xml:space="preserve"> o</w:t>
      </w:r>
      <w:r w:rsidR="00F633A4" w:rsidRPr="00F633A4">
        <w:t>kna budou vym</w:t>
      </w:r>
      <w:r w:rsidR="00F633A4">
        <w:rPr>
          <w:rFonts w:ascii="Calibri" w:eastAsia="Calibri" w:hAnsi="Calibri" w:cs="Calibri"/>
        </w:rPr>
        <w:t>ěně</w:t>
      </w:r>
      <w:r w:rsidR="00F633A4" w:rsidRPr="00F633A4">
        <w:t>na za nová</w:t>
      </w:r>
      <w:r w:rsidR="00F633A4">
        <w:t xml:space="preserve"> </w:t>
      </w:r>
      <w:r w:rsidR="00F633A4" w:rsidRPr="00F633A4">
        <w:t>plastová. Rozm</w:t>
      </w:r>
      <w:r w:rsidR="00F633A4">
        <w:t>ě</w:t>
      </w:r>
      <w:r w:rsidR="00F633A4" w:rsidRPr="00F633A4">
        <w:t xml:space="preserve">r a </w:t>
      </w:r>
      <w:r w:rsidR="00F633A4">
        <w:rPr>
          <w:rFonts w:ascii="Calibri" w:eastAsia="Calibri" w:hAnsi="Calibri" w:cs="Calibri"/>
        </w:rPr>
        <w:t>členěn</w:t>
      </w:r>
      <w:r w:rsidR="00F633A4" w:rsidRPr="00F633A4">
        <w:t>í je shodný s p</w:t>
      </w:r>
      <w:r w:rsidR="00F633A4">
        <w:rPr>
          <w:rFonts w:ascii="Calibri" w:eastAsia="Calibri" w:hAnsi="Calibri" w:cs="Calibri"/>
        </w:rPr>
        <w:t>ů</w:t>
      </w:r>
      <w:r w:rsidR="00F633A4" w:rsidRPr="00F633A4">
        <w:t>vodními.</w:t>
      </w:r>
    </w:p>
    <w:p w14:paraId="169AD362" w14:textId="77777777" w:rsidR="00F633A4" w:rsidRDefault="00F633A4" w:rsidP="00F633A4">
      <w:r w:rsidRPr="00F633A4">
        <w:t>Charakteristika navrhovaných plastových výplní otvor</w:t>
      </w:r>
      <w:r>
        <w:rPr>
          <w:rFonts w:ascii="Calibri" w:eastAsia="Calibri" w:hAnsi="Calibri" w:cs="Calibri"/>
        </w:rPr>
        <w:t>ů</w:t>
      </w:r>
      <w:r w:rsidRPr="00F633A4">
        <w:t>:</w:t>
      </w:r>
    </w:p>
    <w:p w14:paraId="4CAC2042" w14:textId="77777777" w:rsidR="00F633A4" w:rsidRPr="00F633A4" w:rsidRDefault="00F633A4" w:rsidP="00F633A4">
      <w:r w:rsidRPr="00F633A4">
        <w:t>Plastový systém s vícekomorovým po</w:t>
      </w:r>
      <w:r>
        <w:rPr>
          <w:rFonts w:ascii="Calibri" w:eastAsia="Calibri" w:hAnsi="Calibri" w:cs="Calibri"/>
        </w:rPr>
        <w:t>č</w:t>
      </w:r>
      <w:r w:rsidRPr="00F633A4">
        <w:t>tem komor (6 komor) v rámu i v k</w:t>
      </w:r>
      <w:r>
        <w:rPr>
          <w:rFonts w:ascii="Calibri" w:eastAsia="Calibri" w:hAnsi="Calibri" w:cs="Calibri"/>
        </w:rPr>
        <w:t>ř</w:t>
      </w:r>
      <w:r w:rsidRPr="00F633A4">
        <w:rPr>
          <w:rFonts w:hint="eastAsia"/>
        </w:rPr>
        <w:t>í</w:t>
      </w:r>
      <w:r w:rsidRPr="00F633A4">
        <w:t>dle, vzhled</w:t>
      </w:r>
      <w:r>
        <w:t xml:space="preserve"> </w:t>
      </w:r>
      <w:r w:rsidRPr="00F633A4">
        <w:t xml:space="preserve">doložit </w:t>
      </w:r>
      <w:r>
        <w:rPr>
          <w:rFonts w:ascii="Calibri" w:eastAsia="Calibri" w:hAnsi="Calibri" w:cs="Calibri"/>
        </w:rPr>
        <w:t>ř</w:t>
      </w:r>
      <w:r w:rsidRPr="00F633A4">
        <w:t>ezem profilu. Stavební výška rám</w:t>
      </w:r>
      <w:r>
        <w:t>ů</w:t>
      </w:r>
      <w:r w:rsidRPr="00F633A4">
        <w:t xml:space="preserve"> otvorových výplní bez použití rozši</w:t>
      </w:r>
      <w:r>
        <w:rPr>
          <w:rFonts w:ascii="Calibri" w:eastAsia="Calibri" w:hAnsi="Calibri" w:cs="Calibri"/>
        </w:rPr>
        <w:t>ř</w:t>
      </w:r>
      <w:r w:rsidRPr="00F633A4">
        <w:t>ovacích profil</w:t>
      </w:r>
      <w:r>
        <w:rPr>
          <w:rFonts w:ascii="Calibri" w:eastAsia="Calibri" w:hAnsi="Calibri" w:cs="Calibri"/>
        </w:rPr>
        <w:t>ů</w:t>
      </w:r>
      <w:r w:rsidRPr="00F633A4">
        <w:t xml:space="preserve"> minimáln</w:t>
      </w:r>
      <w:r>
        <w:rPr>
          <w:rFonts w:ascii="Calibri" w:eastAsia="Calibri" w:hAnsi="Calibri" w:cs="Calibri"/>
        </w:rPr>
        <w:t>í</w:t>
      </w:r>
      <w:r w:rsidRPr="00F633A4">
        <w:t xml:space="preserve"> 65 mm</w:t>
      </w:r>
      <w:r w:rsidR="00066CC4">
        <w:t xml:space="preserve">. </w:t>
      </w:r>
    </w:p>
    <w:p w14:paraId="025E582A" w14:textId="77777777" w:rsidR="00F633A4" w:rsidRPr="00F633A4" w:rsidRDefault="00F633A4" w:rsidP="00F633A4">
      <w:r w:rsidRPr="00F633A4">
        <w:t>Stavební hloubka rám</w:t>
      </w:r>
      <w:r>
        <w:rPr>
          <w:rFonts w:ascii="Calibri" w:eastAsia="Calibri" w:hAnsi="Calibri" w:cs="Calibri"/>
        </w:rPr>
        <w:t>ů</w:t>
      </w:r>
      <w:r w:rsidRPr="00F633A4">
        <w:t xml:space="preserve"> otvorových výplní minimáln</w:t>
      </w:r>
      <w:r>
        <w:rPr>
          <w:rFonts w:ascii="Calibri" w:eastAsia="Calibri" w:hAnsi="Calibri" w:cs="Calibri"/>
        </w:rPr>
        <w:t>ě</w:t>
      </w:r>
      <w:r w:rsidRPr="00F633A4">
        <w:t xml:space="preserve"> 7</w:t>
      </w:r>
      <w:r w:rsidR="00FD44C1">
        <w:t>8</w:t>
      </w:r>
      <w:r w:rsidRPr="00F633A4">
        <w:t xml:space="preserve"> mm</w:t>
      </w:r>
      <w:r w:rsidR="00066CC4">
        <w:t>.</w:t>
      </w:r>
    </w:p>
    <w:p w14:paraId="7868E652" w14:textId="77777777" w:rsidR="00F633A4" w:rsidRPr="00F633A4" w:rsidRDefault="00F633A4" w:rsidP="00F633A4">
      <w:r w:rsidRPr="00F633A4">
        <w:t>Stavební hloubka k</w:t>
      </w:r>
      <w:r>
        <w:rPr>
          <w:rFonts w:ascii="Calibri" w:eastAsia="Calibri" w:hAnsi="Calibri" w:cs="Calibri"/>
        </w:rPr>
        <w:t>ř</w:t>
      </w:r>
      <w:r w:rsidRPr="00F633A4">
        <w:rPr>
          <w:rFonts w:hint="eastAsia"/>
        </w:rPr>
        <w:t>í</w:t>
      </w:r>
      <w:r w:rsidRPr="00F633A4">
        <w:t>dla otvorových výplní minimáln</w:t>
      </w:r>
      <w:r>
        <w:rPr>
          <w:rFonts w:ascii="Calibri" w:eastAsia="Calibri" w:hAnsi="Calibri" w:cs="Calibri"/>
        </w:rPr>
        <w:t>ě</w:t>
      </w:r>
      <w:r w:rsidRPr="00F633A4">
        <w:t xml:space="preserve"> 7</w:t>
      </w:r>
      <w:r w:rsidR="00FD44C1">
        <w:t>8</w:t>
      </w:r>
      <w:r w:rsidRPr="00F633A4">
        <w:t xml:space="preserve"> mm, k</w:t>
      </w:r>
      <w:r>
        <w:rPr>
          <w:rFonts w:ascii="Calibri" w:eastAsia="Calibri" w:hAnsi="Calibri" w:cs="Calibri"/>
        </w:rPr>
        <w:t>ř</w:t>
      </w:r>
      <w:r w:rsidRPr="00F633A4">
        <w:rPr>
          <w:rFonts w:hint="eastAsia"/>
        </w:rPr>
        <w:t>í</w:t>
      </w:r>
      <w:r w:rsidRPr="00F633A4">
        <w:t>dlo p</w:t>
      </w:r>
      <w:r>
        <w:rPr>
          <w:rFonts w:ascii="Calibri" w:eastAsia="Calibri" w:hAnsi="Calibri" w:cs="Calibri"/>
        </w:rPr>
        <w:t>ř</w:t>
      </w:r>
      <w:r w:rsidRPr="00F633A4">
        <w:t>edsazené p</w:t>
      </w:r>
      <w:r>
        <w:rPr>
          <w:rFonts w:ascii="Calibri" w:eastAsia="Calibri" w:hAnsi="Calibri" w:cs="Calibri"/>
        </w:rPr>
        <w:t>ř</w:t>
      </w:r>
      <w:r w:rsidRPr="00F633A4">
        <w:t>ed rám funkcí “okapnic“</w:t>
      </w:r>
      <w:r w:rsidR="00066CC4">
        <w:t xml:space="preserve">. </w:t>
      </w:r>
    </w:p>
    <w:p w14:paraId="6B58D84B" w14:textId="77777777" w:rsidR="00F633A4" w:rsidRPr="00F633A4" w:rsidRDefault="00F633A4" w:rsidP="00F633A4">
      <w:r w:rsidRPr="00F633A4">
        <w:t xml:space="preserve">Zasklení otvorových výplní </w:t>
      </w:r>
      <w:proofErr w:type="spellStart"/>
      <w:r w:rsidRPr="00F633A4">
        <w:t>Ug</w:t>
      </w:r>
      <w:proofErr w:type="spellEnd"/>
      <w:r>
        <w:rPr>
          <w:rFonts w:ascii="Calibri" w:eastAsia="Calibri" w:hAnsi="Calibri" w:cs="Calibri"/>
        </w:rPr>
        <w:t xml:space="preserve"> ≤</w:t>
      </w:r>
      <w:r w:rsidR="00066CC4">
        <w:t>0</w:t>
      </w:r>
      <w:r w:rsidR="00FD44C1">
        <w:t>,8</w:t>
      </w:r>
      <w:r w:rsidRPr="00F633A4">
        <w:t xml:space="preserve"> W(m2K)</w:t>
      </w:r>
      <w:r w:rsidR="00467E25">
        <w:t xml:space="preserve"> </w:t>
      </w:r>
      <w:r w:rsidRPr="00F633A4">
        <w:t>doložit prohlášením o vlastnostech.</w:t>
      </w:r>
    </w:p>
    <w:p w14:paraId="4A6E936E" w14:textId="465BE793" w:rsidR="00F633A4" w:rsidRPr="00F633A4" w:rsidRDefault="00F633A4" w:rsidP="00F633A4">
      <w:r w:rsidRPr="00F633A4">
        <w:t>Vý</w:t>
      </w:r>
      <w:r w:rsidR="007520D2">
        <w:t>z</w:t>
      </w:r>
      <w:r w:rsidRPr="00F633A4">
        <w:t>tuž rám</w:t>
      </w:r>
      <w:r>
        <w:rPr>
          <w:rFonts w:ascii="Calibri" w:eastAsia="Calibri" w:hAnsi="Calibri" w:cs="Calibri"/>
        </w:rPr>
        <w:t>ů</w:t>
      </w:r>
      <w:r w:rsidRPr="00F633A4">
        <w:t xml:space="preserve"> otvorových výplní – uzav</w:t>
      </w:r>
      <w:r>
        <w:rPr>
          <w:rFonts w:ascii="Calibri" w:eastAsia="Calibri" w:hAnsi="Calibri" w:cs="Calibri"/>
        </w:rPr>
        <w:t>ř</w:t>
      </w:r>
      <w:r w:rsidRPr="00F633A4">
        <w:t>ená celoobvodová výztuž, tlouš</w:t>
      </w:r>
      <w:r>
        <w:rPr>
          <w:rFonts w:ascii="Calibri" w:eastAsia="Calibri" w:hAnsi="Calibri" w:cs="Calibri"/>
        </w:rPr>
        <w:t>ť</w:t>
      </w:r>
      <w:r w:rsidRPr="00F633A4">
        <w:t>ka st</w:t>
      </w:r>
      <w:r w:rsidR="007D3F3D">
        <w:rPr>
          <w:rFonts w:ascii="Calibri" w:eastAsia="Calibri" w:hAnsi="Calibri" w:cs="Calibri"/>
        </w:rPr>
        <w:t>ě</w:t>
      </w:r>
      <w:r w:rsidRPr="00F633A4">
        <w:t>ny výztuže</w:t>
      </w:r>
      <w:r w:rsidR="007D3F3D">
        <w:t xml:space="preserve"> ≤</w:t>
      </w:r>
      <w:r w:rsidRPr="00F633A4">
        <w:t>1,5 mm</w:t>
      </w:r>
      <w:r w:rsidR="00066CC4">
        <w:t xml:space="preserve">. </w:t>
      </w:r>
    </w:p>
    <w:p w14:paraId="0F1AC93E" w14:textId="77777777" w:rsidR="00F633A4" w:rsidRPr="00F633A4" w:rsidRDefault="00F633A4" w:rsidP="00F633A4">
      <w:r w:rsidRPr="00F633A4">
        <w:t>Výztuž k</w:t>
      </w:r>
      <w:r w:rsidR="008A2987">
        <w:t>ř</w:t>
      </w:r>
      <w:r w:rsidRPr="00F633A4">
        <w:rPr>
          <w:rFonts w:hint="eastAsia"/>
        </w:rPr>
        <w:t>í</w:t>
      </w:r>
      <w:r w:rsidRPr="00F633A4">
        <w:t>del otvorových výplní tlouš</w:t>
      </w:r>
      <w:r w:rsidR="008A2987">
        <w:rPr>
          <w:rFonts w:ascii="Calibri" w:eastAsia="Calibri" w:hAnsi="Calibri" w:cs="Calibri"/>
        </w:rPr>
        <w:t>ť</w:t>
      </w:r>
      <w:r w:rsidRPr="00F633A4">
        <w:t>ka st</w:t>
      </w:r>
      <w:r w:rsidR="008A2987">
        <w:rPr>
          <w:rFonts w:ascii="Calibri" w:eastAsia="Calibri" w:hAnsi="Calibri" w:cs="Calibri"/>
        </w:rPr>
        <w:t>ě</w:t>
      </w:r>
      <w:r w:rsidRPr="00F633A4">
        <w:t xml:space="preserve">ny výztuže </w:t>
      </w:r>
      <w:r w:rsidR="00E807C0">
        <w:rPr>
          <w:rFonts w:ascii="Calibri" w:eastAsia="Calibri" w:hAnsi="Calibri" w:cs="Calibri"/>
        </w:rPr>
        <w:t>≤</w:t>
      </w:r>
      <w:r w:rsidRPr="00F633A4">
        <w:t xml:space="preserve">1,5 mm, doložit </w:t>
      </w:r>
      <w:r w:rsidR="008A2987">
        <w:rPr>
          <w:rFonts w:ascii="Calibri" w:eastAsia="Calibri" w:hAnsi="Calibri" w:cs="Calibri"/>
        </w:rPr>
        <w:t>ř</w:t>
      </w:r>
      <w:r w:rsidRPr="00F633A4">
        <w:t>ezem profilu.</w:t>
      </w:r>
    </w:p>
    <w:p w14:paraId="11A700AE" w14:textId="77777777" w:rsidR="00F633A4" w:rsidRPr="00F633A4" w:rsidRDefault="00F633A4" w:rsidP="00F633A4">
      <w:r w:rsidRPr="00F633A4">
        <w:t>Sou</w:t>
      </w:r>
      <w:r w:rsidR="008A2987">
        <w:rPr>
          <w:rFonts w:ascii="Calibri" w:eastAsia="Calibri" w:hAnsi="Calibri" w:cs="Calibri"/>
        </w:rPr>
        <w:t>č</w:t>
      </w:r>
      <w:r w:rsidRPr="00F633A4">
        <w:t>initel prostupu tepla plastového okna (EN ISO 10077-1 nebo EN ISO 10077-1 a EN ISO</w:t>
      </w:r>
    </w:p>
    <w:p w14:paraId="4ED1CCAE" w14:textId="77777777" w:rsidR="00F633A4" w:rsidRPr="00F633A4" w:rsidRDefault="00F633A4" w:rsidP="00F633A4">
      <w:r w:rsidRPr="00F633A4">
        <w:t>10077-2 nebo EN ISO 12567-1 nebo EN ISO 12567-2) UW=1,</w:t>
      </w:r>
      <w:r w:rsidR="00066CC4">
        <w:t>2</w:t>
      </w:r>
      <w:r w:rsidRPr="00F633A4">
        <w:t xml:space="preserve"> W/(m2K), doložit certifikátem,</w:t>
      </w:r>
    </w:p>
    <w:p w14:paraId="61A61543" w14:textId="1484FC14" w:rsidR="00F633A4" w:rsidRDefault="008A2987" w:rsidP="00F633A4">
      <w:r w:rsidRPr="00F633A4">
        <w:t>osv</w:t>
      </w:r>
      <w:r>
        <w:rPr>
          <w:rFonts w:ascii="Calibri" w:eastAsia="Calibri" w:hAnsi="Calibri" w:cs="Calibri"/>
        </w:rPr>
        <w:t>ědč</w:t>
      </w:r>
      <w:r w:rsidRPr="00F633A4">
        <w:t>ením</w:t>
      </w:r>
      <w:r w:rsidR="00F633A4" w:rsidRPr="00F633A4">
        <w:t xml:space="preserve"> vydaným notifikovanou osobou nebo prohlášením o shod</w:t>
      </w:r>
      <w:r w:rsidR="00E807C0">
        <w:rPr>
          <w:rFonts w:ascii="Calibri" w:eastAsia="Calibri" w:hAnsi="Calibri" w:cs="Calibri"/>
        </w:rPr>
        <w:t>ě</w:t>
      </w:r>
      <w:r w:rsidR="00F633A4" w:rsidRPr="00F633A4">
        <w:t xml:space="preserve"> / vlastnostech</w:t>
      </w:r>
      <w:r w:rsidR="007520D2">
        <w:t>.</w:t>
      </w:r>
    </w:p>
    <w:p w14:paraId="4CC746D5" w14:textId="77777777" w:rsidR="007520D2" w:rsidRPr="00F633A4" w:rsidRDefault="007520D2" w:rsidP="00F633A4"/>
    <w:p w14:paraId="3B8A9451" w14:textId="77777777" w:rsidR="00343BAF" w:rsidRDefault="00343BAF" w:rsidP="00343BAF">
      <w:pPr>
        <w:rPr>
          <w:b/>
          <w:bCs/>
        </w:rPr>
      </w:pPr>
      <w:r>
        <w:rPr>
          <w:b/>
          <w:bCs/>
        </w:rPr>
        <w:t xml:space="preserve">Klempířské prvky: </w:t>
      </w:r>
    </w:p>
    <w:p w14:paraId="4E68AD42" w14:textId="77777777" w:rsidR="00343BAF" w:rsidRDefault="00343BAF" w:rsidP="00343BAF">
      <w:r w:rsidRPr="00343BAF">
        <w:t xml:space="preserve">Původní oplechování parapetů </w:t>
      </w:r>
      <w:r w:rsidR="00867E52">
        <w:t xml:space="preserve">bude demontováno při demontáži oken. Po montáži nových plastových oken bude provedeno vyspravení podkladu betonovým potěrem v pásu. Po vytvrdnutí bude osazen nový plechový parapet z lakovaného plechu. Nový parapet bude nalepen na vyzrálý podklad a </w:t>
      </w:r>
      <w:r>
        <w:t xml:space="preserve">bude kotven do podkladového profilu okna samořezným vrutem. </w:t>
      </w:r>
    </w:p>
    <w:p w14:paraId="20CBA1E8" w14:textId="77777777" w:rsidR="00867E52" w:rsidRDefault="00867E52" w:rsidP="00F964D7"/>
    <w:p w14:paraId="3F0F0E75" w14:textId="77777777" w:rsidR="006660E6" w:rsidRDefault="006660E6" w:rsidP="006660E6">
      <w:pPr>
        <w:rPr>
          <w:b/>
          <w:bCs/>
        </w:rPr>
      </w:pPr>
      <w:r>
        <w:rPr>
          <w:b/>
          <w:bCs/>
        </w:rPr>
        <w:t xml:space="preserve">Keramické obklady a dlažby: </w:t>
      </w:r>
    </w:p>
    <w:p w14:paraId="3FAA7BCA" w14:textId="13F542BB" w:rsidR="00466B4C" w:rsidRDefault="006660E6" w:rsidP="00466B4C">
      <w:r>
        <w:lastRenderedPageBreak/>
        <w:t>V místnosti sprch bude proveden nový keramický obklad a dlažba dle výběru objednatele. Keramický obklad a dlažba budou kladeny do tmele a po vytvrdnutí bude provedeno spárování dvousložkovou</w:t>
      </w:r>
      <w:r w:rsidR="00466B4C">
        <w:t xml:space="preserve"> epoxidovou spárovací hmotou. </w:t>
      </w:r>
    </w:p>
    <w:p w14:paraId="430DC23F" w14:textId="01E1BB37" w:rsidR="007520D2" w:rsidRDefault="007520D2" w:rsidP="00466B4C"/>
    <w:p w14:paraId="4BD7D5AB" w14:textId="77777777" w:rsidR="007520D2" w:rsidRDefault="007520D2" w:rsidP="00466B4C"/>
    <w:p w14:paraId="0A5BD3B2" w14:textId="77777777" w:rsidR="00FD44C1" w:rsidRDefault="00FD44C1" w:rsidP="00466B4C">
      <w:pPr>
        <w:rPr>
          <w:b/>
          <w:bCs/>
        </w:rPr>
      </w:pPr>
    </w:p>
    <w:p w14:paraId="7FD508EF" w14:textId="77777777" w:rsidR="00466B4C" w:rsidRDefault="00466B4C" w:rsidP="00466B4C">
      <w:pPr>
        <w:rPr>
          <w:b/>
          <w:bCs/>
        </w:rPr>
      </w:pPr>
      <w:proofErr w:type="spellStart"/>
      <w:r>
        <w:rPr>
          <w:b/>
          <w:bCs/>
        </w:rPr>
        <w:t>Zdravotechnická</w:t>
      </w:r>
      <w:proofErr w:type="spellEnd"/>
      <w:r>
        <w:rPr>
          <w:b/>
          <w:bCs/>
        </w:rPr>
        <w:t xml:space="preserve"> instalace: </w:t>
      </w:r>
    </w:p>
    <w:p w14:paraId="2AC4BEA6" w14:textId="2BF97898" w:rsidR="00466B4C" w:rsidRDefault="00466B4C" w:rsidP="00466B4C">
      <w:r>
        <w:t>V rámci rozšíření společných sprch bude provedena úprava rozvodu teplé a studené vody. Nová část sprch bude vybudována na protější stran</w:t>
      </w:r>
      <w:r w:rsidR="007520D2">
        <w:t>ě</w:t>
      </w:r>
      <w:r>
        <w:t xml:space="preserve">. Nový rozvod vody bude napojen na původní rozvod. Rozvody vody budou provedeny z potrubí PPR 20x2,8i pro studenou vodu a 20x3,4i pro teplou vodu. Celý rozvod bude následně zaizolován </w:t>
      </w:r>
      <w:proofErr w:type="spellStart"/>
      <w:r>
        <w:t>návlekovou</w:t>
      </w:r>
      <w:proofErr w:type="spellEnd"/>
      <w:r>
        <w:t xml:space="preserve"> izolací 20</w:t>
      </w:r>
      <w:r w:rsidR="007520D2">
        <w:t xml:space="preserve"> </w:t>
      </w:r>
      <w:r>
        <w:t>mm. Nově bude dodáno 8</w:t>
      </w:r>
      <w:r w:rsidR="007520D2">
        <w:t xml:space="preserve"> </w:t>
      </w:r>
      <w:r>
        <w:t xml:space="preserve">ks sprchových setů vč. sprchových baterií. </w:t>
      </w:r>
    </w:p>
    <w:p w14:paraId="58D2A9AA" w14:textId="788C9D99" w:rsidR="00466B4C" w:rsidRDefault="00466B4C" w:rsidP="00466B4C">
      <w:r>
        <w:t>V rámci provádění úprav také dojde k rozšíření a výměně části splaškové kanalizace v prostoru sprch. Nově budou osazeny odtokové vpusti. Nová část splaškové kanalizace bude napojena na původní rozvod. Přesný rozsah a napojení bude určen po demontáž</w:t>
      </w:r>
      <w:r w:rsidR="007520D2">
        <w:t>i</w:t>
      </w:r>
      <w:r>
        <w:t xml:space="preserve"> podlah. </w:t>
      </w:r>
    </w:p>
    <w:p w14:paraId="24C3C3EA" w14:textId="77777777" w:rsidR="001F3ADD" w:rsidRDefault="001F3ADD" w:rsidP="00466B4C"/>
    <w:p w14:paraId="053FA3BB" w14:textId="77777777" w:rsidR="001F3ADD" w:rsidRDefault="001F3ADD" w:rsidP="001F3ADD">
      <w:pPr>
        <w:rPr>
          <w:b/>
          <w:bCs/>
        </w:rPr>
      </w:pPr>
      <w:r>
        <w:rPr>
          <w:b/>
          <w:bCs/>
        </w:rPr>
        <w:t xml:space="preserve">Zámečnické prvky: </w:t>
      </w:r>
    </w:p>
    <w:p w14:paraId="7578E77D" w14:textId="77777777" w:rsidR="001F3ADD" w:rsidRDefault="001F3ADD" w:rsidP="001F3ADD">
      <w:r w:rsidRPr="00343BAF">
        <w:t xml:space="preserve">Původní </w:t>
      </w:r>
      <w:r>
        <w:t xml:space="preserve">zámečnické prvky budou obroušeny a zbaveny volných vrstev původních nátěru. Následně bude povrch odmaštěn a proved nový nátěr.  </w:t>
      </w:r>
    </w:p>
    <w:p w14:paraId="3A55AD35" w14:textId="77777777" w:rsidR="001F3ADD" w:rsidRDefault="001F3ADD" w:rsidP="00466B4C"/>
    <w:p w14:paraId="03E29B68" w14:textId="77777777" w:rsidR="00F964D7" w:rsidRPr="007162AD" w:rsidRDefault="00F964D7" w:rsidP="00F964D7">
      <w:pPr>
        <w:rPr>
          <w:color w:val="000000" w:themeColor="text1"/>
        </w:rPr>
      </w:pPr>
      <w:r w:rsidRPr="007162AD">
        <w:rPr>
          <w:color w:val="000000" w:themeColor="text1"/>
        </w:rPr>
        <w:t xml:space="preserve">Zařízení staveniště dodavatelské firmy bude umístěno na </w:t>
      </w:r>
      <w:r>
        <w:rPr>
          <w:color w:val="000000" w:themeColor="text1"/>
        </w:rPr>
        <w:t xml:space="preserve">části </w:t>
      </w:r>
      <w:r w:rsidR="001A0441">
        <w:rPr>
          <w:color w:val="000000" w:themeColor="text1"/>
        </w:rPr>
        <w:t>objektu.</w:t>
      </w:r>
      <w:r>
        <w:rPr>
          <w:color w:val="000000" w:themeColor="text1"/>
        </w:rPr>
        <w:t xml:space="preserve"> </w:t>
      </w:r>
      <w:r w:rsidRPr="007162AD">
        <w:rPr>
          <w:color w:val="000000" w:themeColor="text1"/>
        </w:rPr>
        <w:t xml:space="preserve">Staveniště bude </w:t>
      </w:r>
      <w:r>
        <w:rPr>
          <w:color w:val="000000" w:themeColor="text1"/>
        </w:rPr>
        <w:t>označeno</w:t>
      </w:r>
      <w:r w:rsidRPr="007162AD">
        <w:rPr>
          <w:color w:val="000000" w:themeColor="text1"/>
        </w:rPr>
        <w:t xml:space="preserve"> a zabezpečeno proti vstupu neoprávněných osob. Rozsah zařízení staveniště (staveništní buňky, volné plochy pro uskladnění materiálu, mobilní WC… apod.) bude upřesněn dodavateli před zahájením prací. </w:t>
      </w:r>
    </w:p>
    <w:p w14:paraId="27708D65" w14:textId="77777777" w:rsidR="00467E25" w:rsidRPr="0072623F" w:rsidRDefault="00467E25" w:rsidP="00467E25">
      <w:pPr>
        <w:rPr>
          <w:rFonts w:eastAsia="Times New Roman"/>
        </w:rPr>
      </w:pPr>
    </w:p>
    <w:p w14:paraId="23ED2067" w14:textId="77777777" w:rsidR="00B87599" w:rsidRPr="000B4254" w:rsidRDefault="00B87599" w:rsidP="000B4254">
      <w:pPr>
        <w:rPr>
          <w:b/>
          <w:bCs/>
        </w:rPr>
      </w:pPr>
      <w:bookmarkStart w:id="18" w:name="_Toc519855686"/>
      <w:r w:rsidRPr="000B4254">
        <w:rPr>
          <w:b/>
          <w:bCs/>
        </w:rPr>
        <w:t>Použité normy</w:t>
      </w:r>
      <w:bookmarkEnd w:id="18"/>
    </w:p>
    <w:p w14:paraId="5B00D88C" w14:textId="557C1891" w:rsidR="00B87599" w:rsidRPr="00A871E5" w:rsidRDefault="00B87599" w:rsidP="00B87599">
      <w:pPr>
        <w:contextualSpacing/>
        <w:rPr>
          <w:rFonts w:eastAsia="Times New Roman" w:cstheme="minorHAnsi"/>
          <w:szCs w:val="22"/>
        </w:rPr>
      </w:pPr>
      <w:r w:rsidRPr="00A871E5">
        <w:rPr>
          <w:rFonts w:eastAsia="Times New Roman" w:cstheme="minorHAnsi"/>
          <w:szCs w:val="22"/>
        </w:rPr>
        <w:t>Při výstavbě je nutné dodržet platné normy ČSN a platné právní předpisy ČR (</w:t>
      </w:r>
      <w:r w:rsidR="00CF0F7B">
        <w:rPr>
          <w:rFonts w:eastAsia="Times New Roman" w:cstheme="minorHAnsi"/>
          <w:szCs w:val="22"/>
        </w:rPr>
        <w:t>v</w:t>
      </w:r>
      <w:r w:rsidRPr="00A871E5">
        <w:rPr>
          <w:rFonts w:eastAsia="Times New Roman" w:cstheme="minorHAnsi"/>
          <w:szCs w:val="22"/>
        </w:rPr>
        <w:t xml:space="preserve">yhlášky, </w:t>
      </w:r>
      <w:r w:rsidR="00CF0F7B">
        <w:rPr>
          <w:rFonts w:eastAsia="Times New Roman" w:cstheme="minorHAnsi"/>
          <w:szCs w:val="22"/>
        </w:rPr>
        <w:t>z</w:t>
      </w:r>
      <w:r w:rsidRPr="00A871E5">
        <w:rPr>
          <w:rFonts w:eastAsia="Times New Roman" w:cstheme="minorHAnsi"/>
          <w:szCs w:val="22"/>
        </w:rPr>
        <w:t xml:space="preserve">ákony a </w:t>
      </w:r>
      <w:r w:rsidR="00CF0F7B">
        <w:rPr>
          <w:rFonts w:eastAsia="Times New Roman" w:cstheme="minorHAnsi"/>
          <w:szCs w:val="22"/>
        </w:rPr>
        <w:t>n</w:t>
      </w:r>
      <w:r w:rsidRPr="00A871E5">
        <w:rPr>
          <w:rFonts w:eastAsia="Times New Roman" w:cstheme="minorHAnsi"/>
          <w:szCs w:val="22"/>
        </w:rPr>
        <w:t>ařízení). Jedná se především o:</w:t>
      </w:r>
    </w:p>
    <w:p w14:paraId="4A80577D" w14:textId="77777777" w:rsidR="00D5491B" w:rsidRPr="00D5491B" w:rsidRDefault="00D5491B" w:rsidP="00D5491B">
      <w:pPr>
        <w:tabs>
          <w:tab w:val="left" w:pos="1985"/>
        </w:tabs>
        <w:contextualSpacing/>
        <w:rPr>
          <w:rFonts w:eastAsia="Times New Roman" w:cstheme="minorHAnsi"/>
          <w:szCs w:val="22"/>
        </w:rPr>
      </w:pPr>
      <w:r w:rsidRPr="00D5491B">
        <w:rPr>
          <w:rFonts w:eastAsia="Times New Roman" w:cstheme="minorHAnsi"/>
          <w:szCs w:val="22"/>
        </w:rPr>
        <w:t>ČSN 73 0532</w:t>
      </w:r>
      <w:r w:rsidRPr="00D5491B">
        <w:rPr>
          <w:rFonts w:eastAsia="Times New Roman" w:cstheme="minorHAnsi"/>
          <w:szCs w:val="22"/>
        </w:rPr>
        <w:tab/>
      </w:r>
      <w:proofErr w:type="gramStart"/>
      <w:r w:rsidRPr="00D5491B">
        <w:rPr>
          <w:rFonts w:eastAsia="Times New Roman" w:cstheme="minorHAnsi"/>
          <w:szCs w:val="22"/>
        </w:rPr>
        <w:t>Akustika - Ochrana</w:t>
      </w:r>
      <w:proofErr w:type="gramEnd"/>
      <w:r w:rsidRPr="00D5491B">
        <w:rPr>
          <w:rFonts w:eastAsia="Times New Roman" w:cstheme="minorHAnsi"/>
          <w:szCs w:val="22"/>
        </w:rPr>
        <w:t xml:space="preserve"> proti hluku v budovách a souvisící akustické vlastnosti s tavebních </w:t>
      </w:r>
      <w:r w:rsidR="00467E25">
        <w:rPr>
          <w:rFonts w:eastAsia="Times New Roman" w:cstheme="minorHAnsi"/>
          <w:szCs w:val="22"/>
        </w:rPr>
        <w:tab/>
      </w:r>
      <w:r w:rsidRPr="00D5491B">
        <w:rPr>
          <w:rFonts w:eastAsia="Times New Roman" w:cstheme="minorHAnsi"/>
          <w:szCs w:val="22"/>
        </w:rPr>
        <w:t>výrobků - Požadavky (2/2010)</w:t>
      </w:r>
    </w:p>
    <w:p w14:paraId="38A92E14" w14:textId="77777777" w:rsidR="00D5491B" w:rsidRPr="00D5491B" w:rsidRDefault="00D5491B" w:rsidP="00D5491B">
      <w:pPr>
        <w:tabs>
          <w:tab w:val="left" w:pos="1985"/>
        </w:tabs>
        <w:contextualSpacing/>
        <w:rPr>
          <w:rFonts w:eastAsia="Times New Roman" w:cstheme="minorHAnsi"/>
          <w:szCs w:val="22"/>
        </w:rPr>
      </w:pPr>
      <w:r w:rsidRPr="00D5491B">
        <w:rPr>
          <w:rFonts w:eastAsia="Times New Roman" w:cstheme="minorHAnsi"/>
          <w:szCs w:val="22"/>
        </w:rPr>
        <w:t xml:space="preserve">ČSN 73 0540-1 </w:t>
      </w:r>
      <w:r w:rsidRPr="00D5491B">
        <w:rPr>
          <w:rFonts w:eastAsia="Times New Roman" w:cstheme="minorHAnsi"/>
          <w:szCs w:val="22"/>
        </w:rPr>
        <w:tab/>
        <w:t xml:space="preserve">Tepelná ochrana </w:t>
      </w:r>
      <w:proofErr w:type="gramStart"/>
      <w:r w:rsidRPr="00D5491B">
        <w:rPr>
          <w:rFonts w:eastAsia="Times New Roman" w:cstheme="minorHAnsi"/>
          <w:szCs w:val="22"/>
        </w:rPr>
        <w:t>budov - Část</w:t>
      </w:r>
      <w:proofErr w:type="gramEnd"/>
      <w:r w:rsidRPr="00D5491B">
        <w:rPr>
          <w:rFonts w:eastAsia="Times New Roman" w:cstheme="minorHAnsi"/>
          <w:szCs w:val="22"/>
        </w:rPr>
        <w:t xml:space="preserve"> 1: Termíny, definice a veličiny pro navrhování a </w:t>
      </w:r>
      <w:r w:rsidR="00467E25">
        <w:rPr>
          <w:rFonts w:eastAsia="Times New Roman" w:cstheme="minorHAnsi"/>
          <w:szCs w:val="22"/>
        </w:rPr>
        <w:tab/>
      </w:r>
      <w:r w:rsidRPr="00D5491B">
        <w:rPr>
          <w:rFonts w:eastAsia="Times New Roman" w:cstheme="minorHAnsi"/>
          <w:szCs w:val="22"/>
        </w:rPr>
        <w:t>ověřování</w:t>
      </w:r>
    </w:p>
    <w:p w14:paraId="4D597CAC" w14:textId="77777777" w:rsidR="00D5491B" w:rsidRPr="00D5491B" w:rsidRDefault="00D5491B" w:rsidP="00D5491B">
      <w:pPr>
        <w:tabs>
          <w:tab w:val="left" w:pos="1985"/>
        </w:tabs>
        <w:contextualSpacing/>
        <w:rPr>
          <w:rFonts w:eastAsia="Times New Roman" w:cstheme="minorHAnsi"/>
          <w:szCs w:val="22"/>
        </w:rPr>
      </w:pPr>
      <w:r w:rsidRPr="00D5491B">
        <w:rPr>
          <w:rFonts w:eastAsia="Times New Roman" w:cstheme="minorHAnsi"/>
          <w:szCs w:val="22"/>
        </w:rPr>
        <w:t xml:space="preserve">ČSN 73 0540-2 </w:t>
      </w:r>
      <w:r w:rsidRPr="00D5491B">
        <w:rPr>
          <w:rFonts w:eastAsia="Times New Roman" w:cstheme="minorHAnsi"/>
          <w:szCs w:val="22"/>
        </w:rPr>
        <w:tab/>
        <w:t xml:space="preserve">Tepelná ochrana </w:t>
      </w:r>
      <w:proofErr w:type="gramStart"/>
      <w:r w:rsidRPr="00D5491B">
        <w:rPr>
          <w:rFonts w:eastAsia="Times New Roman" w:cstheme="minorHAnsi"/>
          <w:szCs w:val="22"/>
        </w:rPr>
        <w:t>budov - Část</w:t>
      </w:r>
      <w:proofErr w:type="gramEnd"/>
      <w:r w:rsidRPr="00D5491B">
        <w:rPr>
          <w:rFonts w:eastAsia="Times New Roman" w:cstheme="minorHAnsi"/>
          <w:szCs w:val="22"/>
        </w:rPr>
        <w:t xml:space="preserve"> 2: Požadavky (10/2011)</w:t>
      </w:r>
    </w:p>
    <w:p w14:paraId="7D10B04B" w14:textId="77777777" w:rsidR="00D5491B" w:rsidRPr="00D5491B" w:rsidRDefault="00D5491B" w:rsidP="00D5491B">
      <w:pPr>
        <w:tabs>
          <w:tab w:val="left" w:pos="1985"/>
        </w:tabs>
        <w:contextualSpacing/>
        <w:rPr>
          <w:rFonts w:eastAsia="Times New Roman" w:cstheme="minorHAnsi"/>
          <w:szCs w:val="22"/>
        </w:rPr>
      </w:pPr>
      <w:r w:rsidRPr="00D5491B">
        <w:rPr>
          <w:rFonts w:eastAsia="Times New Roman" w:cstheme="minorHAnsi"/>
          <w:szCs w:val="22"/>
        </w:rPr>
        <w:t xml:space="preserve">ČSN 73 0540-3 </w:t>
      </w:r>
      <w:r w:rsidRPr="00D5491B">
        <w:rPr>
          <w:rFonts w:eastAsia="Times New Roman" w:cstheme="minorHAnsi"/>
          <w:szCs w:val="22"/>
        </w:rPr>
        <w:tab/>
        <w:t xml:space="preserve">Tepelná ochrana </w:t>
      </w:r>
      <w:proofErr w:type="gramStart"/>
      <w:r w:rsidRPr="00D5491B">
        <w:rPr>
          <w:rFonts w:eastAsia="Times New Roman" w:cstheme="minorHAnsi"/>
          <w:szCs w:val="22"/>
        </w:rPr>
        <w:t>budov - Část</w:t>
      </w:r>
      <w:proofErr w:type="gramEnd"/>
      <w:r w:rsidRPr="00D5491B">
        <w:rPr>
          <w:rFonts w:eastAsia="Times New Roman" w:cstheme="minorHAnsi"/>
          <w:szCs w:val="22"/>
        </w:rPr>
        <w:t xml:space="preserve"> 3: Výpočtové hodnoty veličin pro navrhování a ověřování</w:t>
      </w:r>
    </w:p>
    <w:p w14:paraId="044816F9" w14:textId="77777777" w:rsidR="00D5491B" w:rsidRPr="00D5491B" w:rsidRDefault="00D5491B" w:rsidP="00D5491B">
      <w:pPr>
        <w:tabs>
          <w:tab w:val="left" w:pos="1985"/>
        </w:tabs>
        <w:contextualSpacing/>
        <w:rPr>
          <w:rFonts w:eastAsia="Times New Roman" w:cstheme="minorHAnsi"/>
          <w:szCs w:val="22"/>
        </w:rPr>
      </w:pPr>
      <w:r w:rsidRPr="00D5491B">
        <w:rPr>
          <w:rFonts w:eastAsia="Times New Roman" w:cstheme="minorHAnsi"/>
          <w:szCs w:val="22"/>
        </w:rPr>
        <w:t xml:space="preserve">ČSN 73 0540-4 </w:t>
      </w:r>
      <w:r w:rsidRPr="00D5491B">
        <w:rPr>
          <w:rFonts w:eastAsia="Times New Roman" w:cstheme="minorHAnsi"/>
          <w:szCs w:val="22"/>
        </w:rPr>
        <w:tab/>
        <w:t xml:space="preserve">Tepelná ochrana </w:t>
      </w:r>
      <w:proofErr w:type="gramStart"/>
      <w:r w:rsidRPr="00D5491B">
        <w:rPr>
          <w:rFonts w:eastAsia="Times New Roman" w:cstheme="minorHAnsi"/>
          <w:szCs w:val="22"/>
        </w:rPr>
        <w:t>budov - Část</w:t>
      </w:r>
      <w:proofErr w:type="gramEnd"/>
      <w:r w:rsidRPr="00D5491B">
        <w:rPr>
          <w:rFonts w:eastAsia="Times New Roman" w:cstheme="minorHAnsi"/>
          <w:szCs w:val="22"/>
        </w:rPr>
        <w:t xml:space="preserve"> 4: Výpočtové metody pro navrhování a ověřování</w:t>
      </w:r>
    </w:p>
    <w:p w14:paraId="5CA60D52" w14:textId="77777777" w:rsidR="00D5491B" w:rsidRDefault="00D5491B" w:rsidP="00D5491B">
      <w:pPr>
        <w:tabs>
          <w:tab w:val="left" w:pos="1985"/>
        </w:tabs>
        <w:contextualSpacing/>
        <w:rPr>
          <w:rFonts w:eastAsia="Times New Roman" w:cstheme="minorHAnsi"/>
          <w:szCs w:val="22"/>
        </w:rPr>
      </w:pPr>
      <w:r w:rsidRPr="00D5491B">
        <w:rPr>
          <w:rFonts w:eastAsia="Times New Roman" w:cstheme="minorHAnsi"/>
          <w:szCs w:val="22"/>
        </w:rPr>
        <w:t xml:space="preserve">ČSN 730580-1 </w:t>
      </w:r>
      <w:r w:rsidRPr="00D5491B">
        <w:rPr>
          <w:rFonts w:eastAsia="Times New Roman" w:cstheme="minorHAnsi"/>
          <w:szCs w:val="22"/>
        </w:rPr>
        <w:tab/>
        <w:t xml:space="preserve">Denní osvětlení </w:t>
      </w:r>
      <w:proofErr w:type="gramStart"/>
      <w:r w:rsidRPr="00D5491B">
        <w:rPr>
          <w:rFonts w:eastAsia="Times New Roman" w:cstheme="minorHAnsi"/>
          <w:szCs w:val="22"/>
        </w:rPr>
        <w:t>budov - Část</w:t>
      </w:r>
      <w:proofErr w:type="gramEnd"/>
      <w:r w:rsidRPr="00D5491B">
        <w:rPr>
          <w:rFonts w:eastAsia="Times New Roman" w:cstheme="minorHAnsi"/>
          <w:szCs w:val="22"/>
        </w:rPr>
        <w:t xml:space="preserve"> 1: Základní požadavky</w:t>
      </w:r>
    </w:p>
    <w:p w14:paraId="6959EBD6" w14:textId="77777777" w:rsidR="00D5491B" w:rsidRPr="00D5491B" w:rsidRDefault="00D5491B" w:rsidP="00D5491B">
      <w:pPr>
        <w:tabs>
          <w:tab w:val="left" w:pos="1985"/>
        </w:tabs>
        <w:contextualSpacing/>
        <w:rPr>
          <w:rFonts w:eastAsia="Times New Roman" w:cstheme="minorHAnsi"/>
          <w:szCs w:val="22"/>
        </w:rPr>
      </w:pPr>
      <w:r w:rsidRPr="00D5491B">
        <w:rPr>
          <w:rFonts w:eastAsia="Times New Roman" w:cstheme="minorHAnsi"/>
          <w:szCs w:val="22"/>
        </w:rPr>
        <w:t xml:space="preserve">ČSN 73 2810 </w:t>
      </w:r>
      <w:r w:rsidRPr="00D5491B">
        <w:rPr>
          <w:rFonts w:eastAsia="Times New Roman" w:cstheme="minorHAnsi"/>
          <w:szCs w:val="22"/>
        </w:rPr>
        <w:tab/>
        <w:t>Dřevěné stavební konstrukce. Provádění</w:t>
      </w:r>
    </w:p>
    <w:p w14:paraId="39B963E8" w14:textId="77777777" w:rsidR="00D5491B" w:rsidRPr="00D5491B" w:rsidRDefault="00D5491B" w:rsidP="00D5491B">
      <w:pPr>
        <w:tabs>
          <w:tab w:val="left" w:pos="1985"/>
        </w:tabs>
        <w:contextualSpacing/>
        <w:rPr>
          <w:rFonts w:eastAsia="Times New Roman" w:cstheme="minorHAnsi"/>
          <w:szCs w:val="22"/>
        </w:rPr>
      </w:pPr>
      <w:r w:rsidRPr="00D5491B">
        <w:rPr>
          <w:rFonts w:eastAsia="Times New Roman" w:cstheme="minorHAnsi"/>
          <w:szCs w:val="22"/>
        </w:rPr>
        <w:t xml:space="preserve">ČSN 73 3130 </w:t>
      </w:r>
      <w:r w:rsidRPr="00D5491B">
        <w:rPr>
          <w:rFonts w:eastAsia="Times New Roman" w:cstheme="minorHAnsi"/>
          <w:szCs w:val="22"/>
        </w:rPr>
        <w:tab/>
        <w:t>Stavební práce. Truhlářské práce stavební. Základní ustanovení</w:t>
      </w:r>
    </w:p>
    <w:p w14:paraId="183A9C17" w14:textId="77777777" w:rsidR="00D5491B" w:rsidRDefault="00D5491B" w:rsidP="00D5491B">
      <w:pPr>
        <w:tabs>
          <w:tab w:val="left" w:pos="1985"/>
        </w:tabs>
        <w:contextualSpacing/>
        <w:rPr>
          <w:rFonts w:eastAsia="Times New Roman" w:cstheme="minorHAnsi"/>
          <w:szCs w:val="22"/>
        </w:rPr>
      </w:pPr>
      <w:r w:rsidRPr="00D5491B">
        <w:rPr>
          <w:rFonts w:eastAsia="Times New Roman" w:cstheme="minorHAnsi"/>
          <w:szCs w:val="22"/>
        </w:rPr>
        <w:t xml:space="preserve">ČSN 73 3440 </w:t>
      </w:r>
      <w:r w:rsidRPr="00D5491B">
        <w:rPr>
          <w:rFonts w:eastAsia="Times New Roman" w:cstheme="minorHAnsi"/>
          <w:szCs w:val="22"/>
        </w:rPr>
        <w:tab/>
        <w:t>Stavební práce. Sklenářské práce stavební. Základní ustanovení</w:t>
      </w:r>
    </w:p>
    <w:p w14:paraId="1B82EBE9" w14:textId="77777777" w:rsidR="00D5491B" w:rsidRPr="00A871E5" w:rsidRDefault="00D5491B" w:rsidP="00D5491B">
      <w:pPr>
        <w:tabs>
          <w:tab w:val="left" w:pos="1985"/>
        </w:tabs>
        <w:contextualSpacing/>
        <w:rPr>
          <w:rFonts w:eastAsia="Times New Roman" w:cstheme="minorHAnsi"/>
          <w:szCs w:val="22"/>
        </w:rPr>
      </w:pPr>
      <w:r w:rsidRPr="00A871E5">
        <w:rPr>
          <w:rFonts w:eastAsia="Times New Roman" w:cstheme="minorHAnsi"/>
          <w:szCs w:val="22"/>
        </w:rPr>
        <w:t xml:space="preserve">ČSN 73 3610 </w:t>
      </w:r>
      <w:r w:rsidRPr="00A871E5">
        <w:rPr>
          <w:rFonts w:eastAsia="Times New Roman" w:cstheme="minorHAnsi"/>
          <w:szCs w:val="22"/>
        </w:rPr>
        <w:tab/>
        <w:t>Navrhování klempířských konstrukcí</w:t>
      </w:r>
    </w:p>
    <w:p w14:paraId="08A0FD0D" w14:textId="77777777" w:rsidR="00D5491B" w:rsidRPr="00A871E5" w:rsidRDefault="00D5491B" w:rsidP="00D5491B">
      <w:pPr>
        <w:tabs>
          <w:tab w:val="left" w:pos="1985"/>
        </w:tabs>
        <w:ind w:left="1980" w:hanging="1980"/>
        <w:contextualSpacing/>
        <w:rPr>
          <w:rFonts w:eastAsia="Times New Roman" w:cstheme="minorHAnsi"/>
          <w:szCs w:val="22"/>
        </w:rPr>
      </w:pPr>
      <w:r w:rsidRPr="00A871E5">
        <w:rPr>
          <w:rFonts w:eastAsia="Times New Roman" w:cstheme="minorHAnsi"/>
          <w:szCs w:val="22"/>
        </w:rPr>
        <w:t xml:space="preserve">ČSN EN 13914-2 </w:t>
      </w:r>
      <w:r w:rsidRPr="00A871E5">
        <w:rPr>
          <w:rFonts w:eastAsia="Times New Roman" w:cstheme="minorHAnsi"/>
          <w:szCs w:val="22"/>
        </w:rPr>
        <w:tab/>
        <w:t xml:space="preserve">Navrhování, příprava a provádění vnějších a vnitřních </w:t>
      </w:r>
      <w:proofErr w:type="gramStart"/>
      <w:r w:rsidRPr="00A871E5">
        <w:rPr>
          <w:rFonts w:eastAsia="Times New Roman" w:cstheme="minorHAnsi"/>
          <w:szCs w:val="22"/>
        </w:rPr>
        <w:t>omítek - Část</w:t>
      </w:r>
      <w:proofErr w:type="gramEnd"/>
      <w:r w:rsidRPr="00A871E5">
        <w:rPr>
          <w:rFonts w:eastAsia="Times New Roman" w:cstheme="minorHAnsi"/>
          <w:szCs w:val="22"/>
        </w:rPr>
        <w:t xml:space="preserve"> 2: Příprava návrhu a základní postupy pro vnitřní omítky.</w:t>
      </w:r>
    </w:p>
    <w:p w14:paraId="23188011" w14:textId="77777777" w:rsidR="00F05932" w:rsidRPr="00A871E5" w:rsidRDefault="00F05932" w:rsidP="00F05932">
      <w:pPr>
        <w:tabs>
          <w:tab w:val="left" w:pos="2410"/>
        </w:tabs>
        <w:contextualSpacing/>
        <w:rPr>
          <w:rFonts w:eastAsia="Times New Roman" w:cstheme="minorHAnsi"/>
          <w:szCs w:val="22"/>
        </w:rPr>
      </w:pPr>
    </w:p>
    <w:p w14:paraId="7DF5C352" w14:textId="77777777" w:rsidR="000B4254" w:rsidRDefault="000B4254" w:rsidP="00D5491B">
      <w:pPr>
        <w:pStyle w:val="Nadpis1"/>
        <w:spacing w:before="0"/>
        <w:ind w:hanging="294"/>
      </w:pPr>
      <w:bookmarkStart w:id="19" w:name="_Toc72326924"/>
      <w:r w:rsidRPr="000B4254">
        <w:t>Zásady bezpečnosti a ochrany zdraví při práci na staveništi</w:t>
      </w:r>
      <w:bookmarkEnd w:id="19"/>
    </w:p>
    <w:p w14:paraId="58531500" w14:textId="77777777" w:rsidR="00D5491B" w:rsidRDefault="00D5491B" w:rsidP="00D5491B">
      <w:pPr>
        <w:pStyle w:val="Nadpis1"/>
        <w:numPr>
          <w:ilvl w:val="0"/>
          <w:numId w:val="0"/>
        </w:numPr>
        <w:spacing w:before="0"/>
        <w:ind w:left="720"/>
      </w:pPr>
    </w:p>
    <w:p w14:paraId="065996B7" w14:textId="77777777" w:rsidR="00D5491B" w:rsidRDefault="000B4254" w:rsidP="00D5491B">
      <w:r w:rsidRPr="000B4254">
        <w:t>Při provádění stavebních prací je nutno dbát na to, aby byly dodrženy podmínky k zajištění bezpečnost</w:t>
      </w:r>
      <w:r>
        <w:t xml:space="preserve">i </w:t>
      </w:r>
      <w:r w:rsidRPr="000B4254">
        <w:t>práce stanovené v příslušných předpisech, aby byly splněny požadavky příslušných předpisů na organizaci</w:t>
      </w:r>
      <w:r>
        <w:t xml:space="preserve"> </w:t>
      </w:r>
      <w:r w:rsidRPr="000B4254">
        <w:t xml:space="preserve">práce a </w:t>
      </w:r>
      <w:r w:rsidRPr="000B4254">
        <w:lastRenderedPageBreak/>
        <w:t>pracovní postupy, aby byly dodržovány požadavky na bezpečnost a ochranu zdraví při provozu a</w:t>
      </w:r>
      <w:r>
        <w:t xml:space="preserve"> </w:t>
      </w:r>
      <w:r w:rsidRPr="000B4254">
        <w:t>používání strojů a technických zařízení.</w:t>
      </w:r>
      <w:r>
        <w:t xml:space="preserve"> </w:t>
      </w:r>
    </w:p>
    <w:p w14:paraId="35F7ABAB" w14:textId="77777777" w:rsidR="00D5491B" w:rsidRDefault="000B4254" w:rsidP="00D5491B">
      <w:r>
        <w:t>Z</w:t>
      </w:r>
      <w:r w:rsidRPr="000B4254">
        <w:t>hotovitel je povinen seznámit své pracovníky nebo přítomné osoby při bouracích pracích se zásadami</w:t>
      </w:r>
      <w:r>
        <w:t xml:space="preserve"> </w:t>
      </w:r>
      <w:r w:rsidRPr="000B4254">
        <w:t>bezpečného chování na daném pracovišti a s možnými místy a zdroji ohrožení. Dále je povinen vybavit</w:t>
      </w:r>
      <w:r>
        <w:t xml:space="preserve"> </w:t>
      </w:r>
      <w:r w:rsidRPr="000B4254">
        <w:t>všechny osoby, které vstupují na staveniště (pracoviště) osobními ochrannými pracovními prostředky, které</w:t>
      </w:r>
      <w:r>
        <w:t xml:space="preserve"> </w:t>
      </w:r>
      <w:r w:rsidRPr="000B4254">
        <w:t>odpovídají ohrožení dle prováděných prací.</w:t>
      </w:r>
    </w:p>
    <w:p w14:paraId="7BFE253A" w14:textId="14C75D01" w:rsidR="00D5491B" w:rsidRPr="000B4254" w:rsidRDefault="000B4254" w:rsidP="00D5491B">
      <w:r w:rsidRPr="000B4254">
        <w:t>Zaměstnanci provádějících firem budou proškoleni a o tomto proškolení bude proveden zápis.</w:t>
      </w:r>
    </w:p>
    <w:p w14:paraId="5FE70E7D" w14:textId="77777777" w:rsidR="000B4254" w:rsidRPr="00467E25" w:rsidRDefault="000B4254" w:rsidP="00D5491B">
      <w:pPr>
        <w:rPr>
          <w:b/>
          <w:bCs/>
        </w:rPr>
      </w:pPr>
      <w:r w:rsidRPr="00467E25">
        <w:rPr>
          <w:b/>
          <w:bCs/>
        </w:rPr>
        <w:t>Při provádění prací budou respektovány platné předpisy, zejména:</w:t>
      </w:r>
    </w:p>
    <w:p w14:paraId="3E23CB52" w14:textId="77777777" w:rsidR="000B4254" w:rsidRPr="000B4254" w:rsidRDefault="000B4254" w:rsidP="00D5491B">
      <w:r w:rsidRPr="000B4254">
        <w:t>- Zákon č. 262/2006 Sb., Zákoník práce, ve znění pozdějších předpisů</w:t>
      </w:r>
    </w:p>
    <w:p w14:paraId="7E3BD091" w14:textId="77777777" w:rsidR="000B4254" w:rsidRPr="000B4254" w:rsidRDefault="000B4254" w:rsidP="00D5491B">
      <w:r w:rsidRPr="000B4254">
        <w:t>- Zákon č. 309/2006 Sb., o zajištění dalších podmínek bezpečnosti a ochrany zdraví při práci, ve znění</w:t>
      </w:r>
      <w:r>
        <w:t xml:space="preserve"> </w:t>
      </w:r>
      <w:r w:rsidRPr="000B4254">
        <w:t>pozdějších předpisů</w:t>
      </w:r>
    </w:p>
    <w:p w14:paraId="57BD4B54" w14:textId="77777777" w:rsidR="00D5491B" w:rsidRPr="00D5491B" w:rsidRDefault="000B4254" w:rsidP="00D5491B">
      <w:r w:rsidRPr="000B4254">
        <w:t>- Nařízení vlády č. 361/2007 Sb., kterým se stanoví podmínky ochrany zdraví při práci, ve znění</w:t>
      </w:r>
      <w:r>
        <w:t xml:space="preserve"> </w:t>
      </w:r>
      <w:r w:rsidRPr="000B4254">
        <w:t>pozdějších předpisů</w:t>
      </w:r>
      <w:r w:rsidR="00467E25">
        <w:t xml:space="preserve"> </w:t>
      </w:r>
      <w:r w:rsidR="00D5491B" w:rsidRPr="00D5491B">
        <w:t>při práci na staveništích, ve znění pozdějších předpisů</w:t>
      </w:r>
    </w:p>
    <w:p w14:paraId="13FFAAB6" w14:textId="77777777" w:rsidR="00D5491B" w:rsidRPr="00D5491B" w:rsidRDefault="00D5491B" w:rsidP="00D5491B">
      <w:r w:rsidRPr="00D5491B">
        <w:t>- Nařízení vlády č. 362/2005 Sb., o bližších požadavcích na bezpečnost a ochranu zdraví při práci na</w:t>
      </w:r>
    </w:p>
    <w:p w14:paraId="5244CFBF" w14:textId="77777777" w:rsidR="00D5491B" w:rsidRPr="00D5491B" w:rsidRDefault="00D5491B" w:rsidP="00D5491B">
      <w:r w:rsidRPr="00D5491B">
        <w:t>pracovištích s nebezpečím pádu z výšky nebo do hloubky</w:t>
      </w:r>
    </w:p>
    <w:p w14:paraId="34E2C51A" w14:textId="77777777" w:rsidR="00D5491B" w:rsidRPr="00D5491B" w:rsidRDefault="00D5491B" w:rsidP="00D5491B">
      <w:r w:rsidRPr="00D5491B">
        <w:t>- Nařízení vlády č. 101/2005 Sb., o podrobnějších požadavcích na pracoviště a pracovní prostředí</w:t>
      </w:r>
    </w:p>
    <w:p w14:paraId="7AB053CD" w14:textId="77777777" w:rsidR="00D5491B" w:rsidRPr="00D5491B" w:rsidRDefault="00D5491B" w:rsidP="00D5491B">
      <w:r w:rsidRPr="00D5491B">
        <w:t>- Nařízení vlády č. 378/2001 Sb., kterým se stanoví bližší požadavky na bezpečný provoz a používání</w:t>
      </w:r>
    </w:p>
    <w:p w14:paraId="598BEC1D" w14:textId="77777777" w:rsidR="00D5491B" w:rsidRPr="00D5491B" w:rsidRDefault="00D5491B" w:rsidP="00D5491B">
      <w:r w:rsidRPr="00D5491B">
        <w:t>strojů, technických zařízení, přístrojů a nářadí</w:t>
      </w:r>
    </w:p>
    <w:p w14:paraId="67EDEC20" w14:textId="77777777" w:rsidR="00D5491B" w:rsidRPr="00D5491B" w:rsidRDefault="00D5491B" w:rsidP="00D5491B">
      <w:r w:rsidRPr="00D5491B">
        <w:t>- Nařízení vlády č. 168/2002 Sb., kterým se stanoví způsob organizace práce a pracovních postupů,</w:t>
      </w:r>
    </w:p>
    <w:p w14:paraId="2D886E6E" w14:textId="77777777" w:rsidR="00D5491B" w:rsidRPr="00D5491B" w:rsidRDefault="00D5491B" w:rsidP="00D5491B">
      <w:r w:rsidRPr="00D5491B">
        <w:t>které je zaměstnavatel povinen zajistit při provozování dopravy dopravními prostředky</w:t>
      </w:r>
    </w:p>
    <w:p w14:paraId="66012D87" w14:textId="77777777" w:rsidR="00D5491B" w:rsidRPr="00D5491B" w:rsidRDefault="00D5491B" w:rsidP="00D5491B">
      <w:r w:rsidRPr="00D5491B">
        <w:t>- Zákon č. 133/1985 Sb., o požární ochraně, ve znění pozdějších předpisů</w:t>
      </w:r>
    </w:p>
    <w:p w14:paraId="563C7D64" w14:textId="77777777" w:rsidR="00D5491B" w:rsidRPr="00D5491B" w:rsidRDefault="00D5491B" w:rsidP="00D5491B">
      <w:r w:rsidRPr="00D5491B">
        <w:t>- Vyhláška č. 246/2001 Sb., o požární prevenci, ve znění pozdějších předpisů</w:t>
      </w:r>
    </w:p>
    <w:p w14:paraId="69A34E00" w14:textId="77777777" w:rsidR="00D5491B" w:rsidRPr="00D5491B" w:rsidRDefault="00D5491B" w:rsidP="00D5491B">
      <w:r w:rsidRPr="00D5491B">
        <w:t>- Vyhláška č. 87/2000 Sb., kterou se stanoví podmínky požární bezpečnosti při svařování a nahřívání</w:t>
      </w:r>
    </w:p>
    <w:p w14:paraId="38F44CB0" w14:textId="77777777" w:rsidR="00D5491B" w:rsidRPr="00D5491B" w:rsidRDefault="00D5491B" w:rsidP="00D5491B">
      <w:r w:rsidRPr="00D5491B">
        <w:t>živic v tavných nádobách, ve znění pozdějších předpisů</w:t>
      </w:r>
    </w:p>
    <w:p w14:paraId="112E1797" w14:textId="1A695171" w:rsidR="00467E25" w:rsidRDefault="00D5491B" w:rsidP="00D5491B">
      <w:r w:rsidRPr="00D5491B">
        <w:t>- Návody výrobců pro jednotlivá strojní zařízení a prostředky</w:t>
      </w:r>
    </w:p>
    <w:p w14:paraId="5566149F" w14:textId="77777777" w:rsidR="00B12B19" w:rsidRPr="000B4254" w:rsidRDefault="00B12B19" w:rsidP="00D5491B">
      <w:pPr>
        <w:rPr>
          <w:b/>
        </w:rPr>
      </w:pPr>
    </w:p>
    <w:p w14:paraId="304BC0DE" w14:textId="77777777" w:rsidR="00FF2A36" w:rsidRPr="006826E2" w:rsidRDefault="00FF2A36" w:rsidP="00D5491B">
      <w:pPr>
        <w:pStyle w:val="Nadpis1"/>
        <w:spacing w:before="0"/>
        <w:ind w:left="714" w:hanging="357"/>
      </w:pPr>
      <w:bookmarkStart w:id="20" w:name="_Toc72326925"/>
      <w:r w:rsidRPr="00F05932">
        <w:t>Závěr</w:t>
      </w:r>
      <w:bookmarkEnd w:id="20"/>
    </w:p>
    <w:p w14:paraId="6532C349" w14:textId="77777777" w:rsidR="00463B61" w:rsidRPr="0047522D" w:rsidRDefault="00463B61" w:rsidP="00DF3FA8">
      <w:pPr>
        <w:numPr>
          <w:ilvl w:val="0"/>
          <w:numId w:val="1"/>
        </w:numPr>
        <w:ind w:left="426"/>
        <w:rPr>
          <w:szCs w:val="22"/>
        </w:rPr>
      </w:pPr>
      <w:r w:rsidRPr="0047522D">
        <w:rPr>
          <w:szCs w:val="22"/>
        </w:rPr>
        <w:t>Pokud jsou v projektu uváděny obchodní názvy materiálu, je to především z důvodu stanovení požadovaných kvalitativních parametrů. Při provádění stavby lze použít materiály od jiných výrobců, avšak za předpokladu:</w:t>
      </w:r>
    </w:p>
    <w:p w14:paraId="677AC206" w14:textId="77777777" w:rsidR="00463B61" w:rsidRPr="0047522D" w:rsidRDefault="00463B61" w:rsidP="00DF3FA8">
      <w:pPr>
        <w:pStyle w:val="Odstavecseseznamem"/>
        <w:numPr>
          <w:ilvl w:val="0"/>
          <w:numId w:val="4"/>
        </w:numPr>
        <w:ind w:left="851"/>
      </w:pPr>
      <w:r w:rsidRPr="0047522D">
        <w:t>zhotovitel předem oznámí uvažované záměny</w:t>
      </w:r>
    </w:p>
    <w:p w14:paraId="6B725FB5" w14:textId="77777777" w:rsidR="00463B61" w:rsidRPr="0047522D" w:rsidRDefault="00463B61" w:rsidP="00DF3FA8">
      <w:pPr>
        <w:pStyle w:val="Odstavecseseznamem"/>
        <w:numPr>
          <w:ilvl w:val="0"/>
          <w:numId w:val="4"/>
        </w:numPr>
        <w:ind w:left="851"/>
      </w:pPr>
      <w:r w:rsidRPr="0047522D">
        <w:t>zhotovitel předem doloží, že záměnou nedojde ke zhoršení projektem určené kvality</w:t>
      </w:r>
    </w:p>
    <w:p w14:paraId="1DCE8271" w14:textId="77777777" w:rsidR="00463B61" w:rsidRPr="0047522D" w:rsidRDefault="00463B61" w:rsidP="00DF3FA8">
      <w:pPr>
        <w:pStyle w:val="Odstavecseseznamem"/>
        <w:numPr>
          <w:ilvl w:val="0"/>
          <w:numId w:val="4"/>
        </w:numPr>
        <w:ind w:left="851"/>
      </w:pPr>
      <w:r w:rsidRPr="0047522D">
        <w:t>technický dozor (po případné konzultaci s projektantem) záměnu odsouhlasí.</w:t>
      </w:r>
    </w:p>
    <w:p w14:paraId="166EDAE2" w14:textId="77777777" w:rsidR="0012384D" w:rsidRPr="00A871E5" w:rsidRDefault="0012384D" w:rsidP="00DF3FA8">
      <w:pPr>
        <w:numPr>
          <w:ilvl w:val="0"/>
          <w:numId w:val="1"/>
        </w:numPr>
        <w:ind w:left="426"/>
      </w:pPr>
      <w:r w:rsidRPr="00A871E5">
        <w:t>Tato dokumentace byla zpracována v rozsahu dokumentace pro stavební povolení, jako podklad pro zpracování dokumentace pro provedení stavby a dílenské dokumentace pro dodavatele stavby.</w:t>
      </w:r>
    </w:p>
    <w:p w14:paraId="35CFBB90" w14:textId="77777777" w:rsidR="0012384D" w:rsidRPr="00A871E5" w:rsidRDefault="0012384D" w:rsidP="00DF3FA8">
      <w:pPr>
        <w:numPr>
          <w:ilvl w:val="0"/>
          <w:numId w:val="1"/>
        </w:numPr>
        <w:ind w:left="426"/>
      </w:pPr>
      <w:r w:rsidRPr="00A871E5">
        <w:t>Tato dokumentace nenahrazuje dílenskou, technologickou nebo prováděcí dokumentaci dodavatele stavby.</w:t>
      </w:r>
    </w:p>
    <w:p w14:paraId="7D5B4446" w14:textId="77777777" w:rsidR="0012384D" w:rsidRPr="00A871E5" w:rsidRDefault="0012384D" w:rsidP="00DF3FA8">
      <w:pPr>
        <w:numPr>
          <w:ilvl w:val="0"/>
          <w:numId w:val="1"/>
        </w:numPr>
        <w:ind w:left="426"/>
      </w:pPr>
      <w:r w:rsidRPr="00A871E5">
        <w:t>Při realizaci je nutné dodržovat bezpečnostní a technologické předpisy ve stavebnictví.</w:t>
      </w:r>
    </w:p>
    <w:p w14:paraId="31571DC7" w14:textId="77777777" w:rsidR="0012384D" w:rsidRPr="00A871E5" w:rsidRDefault="0012384D" w:rsidP="00DF3FA8">
      <w:pPr>
        <w:numPr>
          <w:ilvl w:val="0"/>
          <w:numId w:val="1"/>
        </w:numPr>
        <w:ind w:left="426"/>
      </w:pPr>
      <w:r w:rsidRPr="00A871E5">
        <w:t>Na stavbu budou dodány výhradně atestované stavební materiály a výrobky.</w:t>
      </w:r>
    </w:p>
    <w:p w14:paraId="761E27F1" w14:textId="77777777" w:rsidR="0012384D" w:rsidRPr="00A871E5" w:rsidRDefault="0012384D" w:rsidP="00DF3FA8">
      <w:pPr>
        <w:numPr>
          <w:ilvl w:val="0"/>
          <w:numId w:val="1"/>
        </w:numPr>
        <w:ind w:left="426"/>
      </w:pPr>
      <w:r w:rsidRPr="00A871E5">
        <w:t>Při stavbě platí obecně platné předpisy týkající se kvality a provedení stavebních prací, ČSN a vyhlášky nebo zákonné předpisy.</w:t>
      </w:r>
    </w:p>
    <w:p w14:paraId="7DEF41C8" w14:textId="0A6FF500" w:rsidR="0012384D" w:rsidRDefault="0012384D" w:rsidP="00DF3FA8">
      <w:pPr>
        <w:numPr>
          <w:ilvl w:val="0"/>
          <w:numId w:val="1"/>
        </w:numPr>
        <w:ind w:left="426"/>
      </w:pPr>
      <w:r w:rsidRPr="00A871E5">
        <w:t>Stavba bude provedena odbornou firmou. Budou dodržovány bezpečnostní a technologické předpisy ve stavebnictví dle použitých technologií, materiálů a systémů a související. Při stavbě je nutno respektovat všechny ČSN a související předpisy, týkajících se rozsahu prováděných prací</w:t>
      </w:r>
    </w:p>
    <w:p w14:paraId="0416C723" w14:textId="77777777" w:rsidR="00B12B19" w:rsidRPr="00A871E5" w:rsidRDefault="00B12B19" w:rsidP="00B12B19">
      <w:pPr>
        <w:ind w:left="426"/>
      </w:pPr>
    </w:p>
    <w:p w14:paraId="5EBB91F6" w14:textId="77777777" w:rsidR="0012384D" w:rsidRPr="00467E25" w:rsidRDefault="0012384D" w:rsidP="00467E25">
      <w:pPr>
        <w:ind w:left="66"/>
        <w:rPr>
          <w:b/>
          <w:bCs/>
        </w:rPr>
      </w:pPr>
      <w:r w:rsidRPr="00467E25">
        <w:rPr>
          <w:b/>
          <w:bCs/>
        </w:rPr>
        <w:t>Nutné doklady, předložené dodavateli při přejímce prací:</w:t>
      </w:r>
    </w:p>
    <w:p w14:paraId="5CDB7164" w14:textId="77777777" w:rsidR="0012384D" w:rsidRPr="00A871E5" w:rsidRDefault="0012384D" w:rsidP="00DF3FA8">
      <w:pPr>
        <w:numPr>
          <w:ilvl w:val="0"/>
          <w:numId w:val="5"/>
        </w:numPr>
        <w:ind w:left="851"/>
      </w:pPr>
      <w:r w:rsidRPr="00A871E5">
        <w:t>Stavební deník</w:t>
      </w:r>
    </w:p>
    <w:p w14:paraId="699A002A" w14:textId="77777777" w:rsidR="0012384D" w:rsidRPr="00A871E5" w:rsidRDefault="0012384D" w:rsidP="00DF3FA8">
      <w:pPr>
        <w:numPr>
          <w:ilvl w:val="0"/>
          <w:numId w:val="5"/>
        </w:numPr>
        <w:ind w:left="851"/>
      </w:pPr>
      <w:r w:rsidRPr="00A871E5">
        <w:t>Technická dokumentace dle skutečného provedení stavby</w:t>
      </w:r>
    </w:p>
    <w:p w14:paraId="5405283E" w14:textId="77777777" w:rsidR="0012384D" w:rsidRPr="00A871E5" w:rsidRDefault="0012384D" w:rsidP="00DF3FA8">
      <w:pPr>
        <w:numPr>
          <w:ilvl w:val="0"/>
          <w:numId w:val="5"/>
        </w:numPr>
        <w:ind w:left="851"/>
      </w:pPr>
      <w:r w:rsidRPr="00A871E5">
        <w:t>Předem odsouhlasené změny oproti schválené dokumentaci</w:t>
      </w:r>
    </w:p>
    <w:p w14:paraId="64E5BC52" w14:textId="77777777" w:rsidR="0012384D" w:rsidRPr="00A871E5" w:rsidRDefault="0012384D" w:rsidP="00DF3FA8">
      <w:pPr>
        <w:numPr>
          <w:ilvl w:val="0"/>
          <w:numId w:val="5"/>
        </w:numPr>
        <w:ind w:left="851"/>
      </w:pPr>
      <w:r w:rsidRPr="00A871E5">
        <w:t>Atesty dodaných materiálů na stavbu a strojně-technologických zařízení v českém jazyce</w:t>
      </w:r>
    </w:p>
    <w:p w14:paraId="5C7681E9" w14:textId="77777777" w:rsidR="0012384D" w:rsidRPr="00A871E5" w:rsidRDefault="0012384D" w:rsidP="00DF3FA8">
      <w:pPr>
        <w:numPr>
          <w:ilvl w:val="0"/>
          <w:numId w:val="5"/>
        </w:numPr>
        <w:ind w:left="851"/>
      </w:pPr>
      <w:r w:rsidRPr="00A871E5">
        <w:t>Atesty veškerých protipožárních opatření a úprav stavebních konstrukcí</w:t>
      </w:r>
    </w:p>
    <w:p w14:paraId="4962A59B" w14:textId="77777777" w:rsidR="0012384D" w:rsidRPr="00A871E5" w:rsidRDefault="0012384D" w:rsidP="00DF3FA8">
      <w:pPr>
        <w:numPr>
          <w:ilvl w:val="0"/>
          <w:numId w:val="5"/>
        </w:numPr>
        <w:ind w:left="851"/>
      </w:pPr>
      <w:r w:rsidRPr="00A871E5">
        <w:t>Doklady dle zákona o odpadech č. 125/97 Sb.</w:t>
      </w:r>
    </w:p>
    <w:bookmarkEnd w:id="4"/>
    <w:bookmarkEnd w:id="7"/>
    <w:p w14:paraId="6877FC9B" w14:textId="77777777" w:rsidR="0012384D" w:rsidRPr="00A871E5" w:rsidRDefault="0012384D" w:rsidP="0012384D">
      <w:pPr>
        <w:rPr>
          <w:color w:val="FF0000"/>
        </w:rPr>
      </w:pPr>
    </w:p>
    <w:sectPr w:rsidR="0012384D" w:rsidRPr="00A871E5" w:rsidSect="00E21CF4">
      <w:headerReference w:type="default" r:id="rId8"/>
      <w:footerReference w:type="default" r:id="rId9"/>
      <w:headerReference w:type="first" r:id="rId10"/>
      <w:footerReference w:type="first" r:id="rId11"/>
      <w:pgSz w:w="11907" w:h="16840"/>
      <w:pgMar w:top="1134" w:right="1134" w:bottom="1134" w:left="1134" w:header="567" w:footer="1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226B4" w14:textId="77777777" w:rsidR="002A00D5" w:rsidRDefault="002A00D5" w:rsidP="005B09D6">
      <w:r>
        <w:separator/>
      </w:r>
    </w:p>
  </w:endnote>
  <w:endnote w:type="continuationSeparator" w:id="0">
    <w:p w14:paraId="1F5F0E2C" w14:textId="77777777" w:rsidR="002A00D5" w:rsidRDefault="002A00D5" w:rsidP="005B0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0000012" w:usb3="00000000" w:csb0="0002009F" w:csb1="00000000"/>
  </w:font>
  <w:font w:name="Consolas">
    <w:panose1 w:val="020B0609020204030204"/>
    <w:charset w:val="EE"/>
    <w:family w:val="modern"/>
    <w:pitch w:val="fixed"/>
    <w:sig w:usb0="E00006FF" w:usb1="0000FCFF" w:usb2="00000001" w:usb3="00000000" w:csb0="0000019F" w:csb1="00000000"/>
  </w:font>
  <w:font w:name="Microsoft JhengHei">
    <w:panose1 w:val="020B0604030504040204"/>
    <w:charset w:val="88"/>
    <w:family w:val="swiss"/>
    <w:pitch w:val="variable"/>
    <w:sig w:usb0="000002A7" w:usb1="28CF4400" w:usb2="00000016" w:usb3="00000000" w:csb0="00100009" w:csb1="00000000"/>
  </w:font>
  <w:font w:name="ArialMT">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4571088"/>
      <w:docPartObj>
        <w:docPartGallery w:val="Page Numbers (Bottom of Page)"/>
        <w:docPartUnique/>
      </w:docPartObj>
    </w:sdtPr>
    <w:sdtEndPr>
      <w:rPr>
        <w:color w:val="7F7F7F" w:themeColor="background1" w:themeShade="7F"/>
        <w:spacing w:val="60"/>
      </w:rPr>
    </w:sdtEndPr>
    <w:sdtContent>
      <w:p w14:paraId="32E14E3A" w14:textId="77777777" w:rsidR="007D4813" w:rsidRDefault="007D4813">
        <w:pPr>
          <w:pStyle w:val="Zpat"/>
          <w:pBdr>
            <w:top w:val="single" w:sz="4" w:space="1" w:color="D9D9D9" w:themeColor="background1" w:themeShade="D9"/>
          </w:pBdr>
          <w:jc w:val="right"/>
        </w:pPr>
        <w:r>
          <w:fldChar w:fldCharType="begin"/>
        </w:r>
        <w:r>
          <w:instrText>PAGE   \* MERGEFORMAT</w:instrText>
        </w:r>
        <w:r>
          <w:fldChar w:fldCharType="separate"/>
        </w:r>
        <w:r>
          <w:rPr>
            <w:noProof/>
          </w:rPr>
          <w:t>15</w:t>
        </w:r>
        <w:r>
          <w:fldChar w:fldCharType="end"/>
        </w:r>
        <w:r>
          <w:t xml:space="preserve"> | </w:t>
        </w:r>
        <w:r>
          <w:rPr>
            <w:color w:val="7F7F7F" w:themeColor="background1" w:themeShade="7F"/>
            <w:spacing w:val="60"/>
          </w:rPr>
          <w:t>Stránka</w:t>
        </w:r>
      </w:p>
    </w:sdtContent>
  </w:sdt>
  <w:p w14:paraId="0882E4CF" w14:textId="77777777" w:rsidR="007D4813" w:rsidRDefault="007D48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76B1B" w14:textId="77777777" w:rsidR="007D4813" w:rsidRPr="001C6EFE" w:rsidRDefault="007D4813" w:rsidP="001C6EFE">
    <w:pPr>
      <w:pStyle w:val="Zpat"/>
      <w:spacing w:after="20"/>
      <w:rPr>
        <w:b/>
        <w:sz w:val="20"/>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DD5BE" w14:textId="77777777" w:rsidR="002A00D5" w:rsidRDefault="002A00D5" w:rsidP="005B09D6">
      <w:r>
        <w:separator/>
      </w:r>
    </w:p>
  </w:footnote>
  <w:footnote w:type="continuationSeparator" w:id="0">
    <w:p w14:paraId="2B37C013" w14:textId="77777777" w:rsidR="002A00D5" w:rsidRDefault="002A00D5" w:rsidP="005B0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2A338" w14:textId="77777777" w:rsidR="007D4813" w:rsidRPr="00A92EB1" w:rsidRDefault="007D4813" w:rsidP="00D656B2">
    <w:pPr>
      <w:pStyle w:val="Zhlav"/>
      <w:jc w:val="right"/>
      <w:rPr>
        <w:color w:val="262626" w:themeColor="text1" w:themeTint="D9"/>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7AB21" w14:textId="77777777" w:rsidR="007D4813" w:rsidRPr="00C07A8A" w:rsidRDefault="007D4813" w:rsidP="00DD012E">
    <w:pPr>
      <w:pStyle w:val="Zhlav"/>
      <w:jc w:val="center"/>
      <w:rPr>
        <w:color w:val="262626" w:themeColor="text1" w:themeTint="D9"/>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B6C6D"/>
    <w:multiLevelType w:val="hybridMultilevel"/>
    <w:tmpl w:val="E6DC4D5E"/>
    <w:lvl w:ilvl="0" w:tplc="F9561322">
      <w:start w:val="1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28661F9"/>
    <w:multiLevelType w:val="hybridMultilevel"/>
    <w:tmpl w:val="A2308B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192B4D61"/>
    <w:multiLevelType w:val="hybridMultilevel"/>
    <w:tmpl w:val="0A2811D0"/>
    <w:lvl w:ilvl="0" w:tplc="8618C3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1E51273"/>
    <w:multiLevelType w:val="hybridMultilevel"/>
    <w:tmpl w:val="1870F1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CA43282"/>
    <w:multiLevelType w:val="hybridMultilevel"/>
    <w:tmpl w:val="6CD6B2C4"/>
    <w:lvl w:ilvl="0" w:tplc="0405001B">
      <w:start w:val="1"/>
      <w:numFmt w:val="lowerRoman"/>
      <w:lvlText w:val="%1."/>
      <w:lvlJc w:val="righ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0E42795"/>
    <w:multiLevelType w:val="hybridMultilevel"/>
    <w:tmpl w:val="62C489EC"/>
    <w:lvl w:ilvl="0" w:tplc="8618C3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1A466C1"/>
    <w:multiLevelType w:val="multilevel"/>
    <w:tmpl w:val="10F009FE"/>
    <w:lvl w:ilvl="0">
      <w:start w:val="1"/>
      <w:numFmt w:val="decimal"/>
      <w:pStyle w:val="Nadpis1"/>
      <w:lvlText w:val="%1."/>
      <w:lvlJc w:val="left"/>
      <w:pPr>
        <w:ind w:left="720" w:hanging="360"/>
      </w:pPr>
    </w:lvl>
    <w:lvl w:ilvl="1">
      <w:start w:val="1"/>
      <w:numFmt w:val="decimal"/>
      <w:pStyle w:val="Nadpis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4423D27"/>
    <w:multiLevelType w:val="hybridMultilevel"/>
    <w:tmpl w:val="8424F6B4"/>
    <w:lvl w:ilvl="0" w:tplc="8618C3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FD94908"/>
    <w:multiLevelType w:val="hybridMultilevel"/>
    <w:tmpl w:val="EDB0FB82"/>
    <w:lvl w:ilvl="0" w:tplc="46B06556">
      <w:start w:val="1"/>
      <w:numFmt w:val="lowerLetter"/>
      <w:pStyle w:val="Nadpis3"/>
      <w:lvlText w:val="%1)"/>
      <w:lvlJc w:val="left"/>
      <w:pPr>
        <w:ind w:left="715" w:hanging="360"/>
      </w:pPr>
    </w:lvl>
    <w:lvl w:ilvl="1" w:tplc="04050019" w:tentative="1">
      <w:start w:val="1"/>
      <w:numFmt w:val="lowerLetter"/>
      <w:lvlText w:val="%2."/>
      <w:lvlJc w:val="left"/>
      <w:pPr>
        <w:ind w:left="1435" w:hanging="360"/>
      </w:pPr>
    </w:lvl>
    <w:lvl w:ilvl="2" w:tplc="0405001B" w:tentative="1">
      <w:start w:val="1"/>
      <w:numFmt w:val="lowerRoman"/>
      <w:lvlText w:val="%3."/>
      <w:lvlJc w:val="right"/>
      <w:pPr>
        <w:ind w:left="2155" w:hanging="180"/>
      </w:pPr>
    </w:lvl>
    <w:lvl w:ilvl="3" w:tplc="0405000F" w:tentative="1">
      <w:start w:val="1"/>
      <w:numFmt w:val="decimal"/>
      <w:lvlText w:val="%4."/>
      <w:lvlJc w:val="left"/>
      <w:pPr>
        <w:ind w:left="2875" w:hanging="360"/>
      </w:pPr>
    </w:lvl>
    <w:lvl w:ilvl="4" w:tplc="04050019" w:tentative="1">
      <w:start w:val="1"/>
      <w:numFmt w:val="lowerLetter"/>
      <w:lvlText w:val="%5."/>
      <w:lvlJc w:val="left"/>
      <w:pPr>
        <w:ind w:left="3595" w:hanging="360"/>
      </w:pPr>
    </w:lvl>
    <w:lvl w:ilvl="5" w:tplc="0405001B" w:tentative="1">
      <w:start w:val="1"/>
      <w:numFmt w:val="lowerRoman"/>
      <w:lvlText w:val="%6."/>
      <w:lvlJc w:val="right"/>
      <w:pPr>
        <w:ind w:left="4315" w:hanging="180"/>
      </w:pPr>
    </w:lvl>
    <w:lvl w:ilvl="6" w:tplc="0405000F" w:tentative="1">
      <w:start w:val="1"/>
      <w:numFmt w:val="decimal"/>
      <w:lvlText w:val="%7."/>
      <w:lvlJc w:val="left"/>
      <w:pPr>
        <w:ind w:left="5035" w:hanging="360"/>
      </w:pPr>
    </w:lvl>
    <w:lvl w:ilvl="7" w:tplc="04050019" w:tentative="1">
      <w:start w:val="1"/>
      <w:numFmt w:val="lowerLetter"/>
      <w:lvlText w:val="%8."/>
      <w:lvlJc w:val="left"/>
      <w:pPr>
        <w:ind w:left="5755" w:hanging="360"/>
      </w:pPr>
    </w:lvl>
    <w:lvl w:ilvl="8" w:tplc="0405001B" w:tentative="1">
      <w:start w:val="1"/>
      <w:numFmt w:val="lowerRoman"/>
      <w:lvlText w:val="%9."/>
      <w:lvlJc w:val="right"/>
      <w:pPr>
        <w:ind w:left="6475" w:hanging="180"/>
      </w:pPr>
    </w:lvl>
  </w:abstractNum>
  <w:abstractNum w:abstractNumId="9" w15:restartNumberingAfterBreak="0">
    <w:nsid w:val="60A55620"/>
    <w:multiLevelType w:val="hybridMultilevel"/>
    <w:tmpl w:val="A26699C6"/>
    <w:lvl w:ilvl="0" w:tplc="8618C3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1"/>
  </w:num>
  <w:num w:numId="5">
    <w:abstractNumId w:val="3"/>
  </w:num>
  <w:num w:numId="6">
    <w:abstractNumId w:val="8"/>
  </w:num>
  <w:num w:numId="7">
    <w:abstractNumId w:val="5"/>
  </w:num>
  <w:num w:numId="8">
    <w:abstractNumId w:val="7"/>
  </w:num>
  <w:num w:numId="9">
    <w:abstractNumId w:val="2"/>
  </w:num>
  <w:num w:numId="1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21A"/>
    <w:rsid w:val="00006DDD"/>
    <w:rsid w:val="00014C18"/>
    <w:rsid w:val="00025CEE"/>
    <w:rsid w:val="0002785D"/>
    <w:rsid w:val="000328C1"/>
    <w:rsid w:val="00033DBA"/>
    <w:rsid w:val="00035778"/>
    <w:rsid w:val="00047892"/>
    <w:rsid w:val="0004799D"/>
    <w:rsid w:val="000516C0"/>
    <w:rsid w:val="00052338"/>
    <w:rsid w:val="000523D9"/>
    <w:rsid w:val="00063660"/>
    <w:rsid w:val="00063891"/>
    <w:rsid w:val="00065763"/>
    <w:rsid w:val="00066CC4"/>
    <w:rsid w:val="00067499"/>
    <w:rsid w:val="000760DA"/>
    <w:rsid w:val="000778F5"/>
    <w:rsid w:val="0008427F"/>
    <w:rsid w:val="00084913"/>
    <w:rsid w:val="000919D9"/>
    <w:rsid w:val="000A03B9"/>
    <w:rsid w:val="000A0B4A"/>
    <w:rsid w:val="000A39FF"/>
    <w:rsid w:val="000A5BDC"/>
    <w:rsid w:val="000A64A6"/>
    <w:rsid w:val="000B4254"/>
    <w:rsid w:val="000C39C4"/>
    <w:rsid w:val="000D0773"/>
    <w:rsid w:val="000D14D8"/>
    <w:rsid w:val="000D365C"/>
    <w:rsid w:val="000D55F7"/>
    <w:rsid w:val="000E4D86"/>
    <w:rsid w:val="000E5BA6"/>
    <w:rsid w:val="000E7DC5"/>
    <w:rsid w:val="00102537"/>
    <w:rsid w:val="00107575"/>
    <w:rsid w:val="00110944"/>
    <w:rsid w:val="00120AEB"/>
    <w:rsid w:val="0012384D"/>
    <w:rsid w:val="00130569"/>
    <w:rsid w:val="0013070B"/>
    <w:rsid w:val="00135D6A"/>
    <w:rsid w:val="001373F1"/>
    <w:rsid w:val="00146945"/>
    <w:rsid w:val="001509C0"/>
    <w:rsid w:val="001530CD"/>
    <w:rsid w:val="00170F64"/>
    <w:rsid w:val="001714A3"/>
    <w:rsid w:val="001727FE"/>
    <w:rsid w:val="001826EE"/>
    <w:rsid w:val="001974FA"/>
    <w:rsid w:val="001A022D"/>
    <w:rsid w:val="001A0441"/>
    <w:rsid w:val="001A445C"/>
    <w:rsid w:val="001B0B41"/>
    <w:rsid w:val="001B4115"/>
    <w:rsid w:val="001B63C1"/>
    <w:rsid w:val="001C057A"/>
    <w:rsid w:val="001C0974"/>
    <w:rsid w:val="001C3CB5"/>
    <w:rsid w:val="001C5B6B"/>
    <w:rsid w:val="001C6EFE"/>
    <w:rsid w:val="001D17DC"/>
    <w:rsid w:val="001E642E"/>
    <w:rsid w:val="001F1C7A"/>
    <w:rsid w:val="001F3ADD"/>
    <w:rsid w:val="001F68FF"/>
    <w:rsid w:val="00204EAC"/>
    <w:rsid w:val="00210293"/>
    <w:rsid w:val="0021037E"/>
    <w:rsid w:val="002169FD"/>
    <w:rsid w:val="00217A90"/>
    <w:rsid w:val="002229DA"/>
    <w:rsid w:val="00224027"/>
    <w:rsid w:val="00225B50"/>
    <w:rsid w:val="00236DD6"/>
    <w:rsid w:val="00256057"/>
    <w:rsid w:val="002577D6"/>
    <w:rsid w:val="00267333"/>
    <w:rsid w:val="0026790E"/>
    <w:rsid w:val="00280B0C"/>
    <w:rsid w:val="00281806"/>
    <w:rsid w:val="00285494"/>
    <w:rsid w:val="00285587"/>
    <w:rsid w:val="002918BF"/>
    <w:rsid w:val="00296E1D"/>
    <w:rsid w:val="002972E6"/>
    <w:rsid w:val="002A00D5"/>
    <w:rsid w:val="002A05EE"/>
    <w:rsid w:val="002A6CBE"/>
    <w:rsid w:val="002B080E"/>
    <w:rsid w:val="002B0AEC"/>
    <w:rsid w:val="002B0ECC"/>
    <w:rsid w:val="002C42A7"/>
    <w:rsid w:val="002C7739"/>
    <w:rsid w:val="002C7E40"/>
    <w:rsid w:val="002D74C2"/>
    <w:rsid w:val="002D7874"/>
    <w:rsid w:val="002E2E32"/>
    <w:rsid w:val="002E724E"/>
    <w:rsid w:val="002E78A5"/>
    <w:rsid w:val="002F14C3"/>
    <w:rsid w:val="002F4FF9"/>
    <w:rsid w:val="002F5356"/>
    <w:rsid w:val="00300540"/>
    <w:rsid w:val="00301C4F"/>
    <w:rsid w:val="00315417"/>
    <w:rsid w:val="00315869"/>
    <w:rsid w:val="003215B2"/>
    <w:rsid w:val="00321A57"/>
    <w:rsid w:val="00322168"/>
    <w:rsid w:val="0033392B"/>
    <w:rsid w:val="00333B8C"/>
    <w:rsid w:val="0033584A"/>
    <w:rsid w:val="00336AA6"/>
    <w:rsid w:val="00343BAF"/>
    <w:rsid w:val="00362D00"/>
    <w:rsid w:val="00362DBD"/>
    <w:rsid w:val="00363D27"/>
    <w:rsid w:val="00372B0D"/>
    <w:rsid w:val="003734D9"/>
    <w:rsid w:val="00380E71"/>
    <w:rsid w:val="00382A00"/>
    <w:rsid w:val="00387693"/>
    <w:rsid w:val="0039132D"/>
    <w:rsid w:val="003B0117"/>
    <w:rsid w:val="003B221A"/>
    <w:rsid w:val="003B6086"/>
    <w:rsid w:val="003C1A09"/>
    <w:rsid w:val="003C2B2A"/>
    <w:rsid w:val="003C4C45"/>
    <w:rsid w:val="003D18E7"/>
    <w:rsid w:val="003D48BD"/>
    <w:rsid w:val="003E1BD2"/>
    <w:rsid w:val="003E266E"/>
    <w:rsid w:val="003F0A04"/>
    <w:rsid w:val="003F0E66"/>
    <w:rsid w:val="003F7AEB"/>
    <w:rsid w:val="003F7F41"/>
    <w:rsid w:val="00400C91"/>
    <w:rsid w:val="00402FD2"/>
    <w:rsid w:val="004044B6"/>
    <w:rsid w:val="00404A21"/>
    <w:rsid w:val="004110A1"/>
    <w:rsid w:val="00412353"/>
    <w:rsid w:val="00412AE0"/>
    <w:rsid w:val="004164D8"/>
    <w:rsid w:val="00416FF0"/>
    <w:rsid w:val="00422D43"/>
    <w:rsid w:val="00426A18"/>
    <w:rsid w:val="0044020A"/>
    <w:rsid w:val="004440F3"/>
    <w:rsid w:val="00463B61"/>
    <w:rsid w:val="00466870"/>
    <w:rsid w:val="00466B4C"/>
    <w:rsid w:val="00467E25"/>
    <w:rsid w:val="00470D54"/>
    <w:rsid w:val="00471EFA"/>
    <w:rsid w:val="0047522D"/>
    <w:rsid w:val="004767AD"/>
    <w:rsid w:val="00476EE3"/>
    <w:rsid w:val="0049083D"/>
    <w:rsid w:val="00491F6C"/>
    <w:rsid w:val="00493161"/>
    <w:rsid w:val="004940FB"/>
    <w:rsid w:val="004B3C98"/>
    <w:rsid w:val="004B4EC5"/>
    <w:rsid w:val="004B5B32"/>
    <w:rsid w:val="004B6636"/>
    <w:rsid w:val="004C0BB4"/>
    <w:rsid w:val="004C2F8B"/>
    <w:rsid w:val="004C3C01"/>
    <w:rsid w:val="004C4807"/>
    <w:rsid w:val="004C60A8"/>
    <w:rsid w:val="004C6D99"/>
    <w:rsid w:val="004E24F6"/>
    <w:rsid w:val="004E398B"/>
    <w:rsid w:val="004E550A"/>
    <w:rsid w:val="004E576E"/>
    <w:rsid w:val="004F05EE"/>
    <w:rsid w:val="004F79C1"/>
    <w:rsid w:val="005176B1"/>
    <w:rsid w:val="00520289"/>
    <w:rsid w:val="005213DA"/>
    <w:rsid w:val="005361B4"/>
    <w:rsid w:val="00541C09"/>
    <w:rsid w:val="0054725B"/>
    <w:rsid w:val="00553A38"/>
    <w:rsid w:val="00556EFD"/>
    <w:rsid w:val="00557959"/>
    <w:rsid w:val="005603A3"/>
    <w:rsid w:val="0056371F"/>
    <w:rsid w:val="00564F23"/>
    <w:rsid w:val="005733F4"/>
    <w:rsid w:val="00580575"/>
    <w:rsid w:val="0058309A"/>
    <w:rsid w:val="00584516"/>
    <w:rsid w:val="0059031C"/>
    <w:rsid w:val="00590F4F"/>
    <w:rsid w:val="0059240B"/>
    <w:rsid w:val="005941B8"/>
    <w:rsid w:val="0059773F"/>
    <w:rsid w:val="005A4361"/>
    <w:rsid w:val="005A6CBB"/>
    <w:rsid w:val="005A7A44"/>
    <w:rsid w:val="005B09D6"/>
    <w:rsid w:val="005C014B"/>
    <w:rsid w:val="005C187C"/>
    <w:rsid w:val="005C61AB"/>
    <w:rsid w:val="005D4616"/>
    <w:rsid w:val="005E2EB7"/>
    <w:rsid w:val="005E4EE6"/>
    <w:rsid w:val="005F0C4F"/>
    <w:rsid w:val="00604289"/>
    <w:rsid w:val="006047E6"/>
    <w:rsid w:val="00605CAC"/>
    <w:rsid w:val="00615E46"/>
    <w:rsid w:val="0061760D"/>
    <w:rsid w:val="0062567B"/>
    <w:rsid w:val="006325BE"/>
    <w:rsid w:val="006351B5"/>
    <w:rsid w:val="00640682"/>
    <w:rsid w:val="0064085A"/>
    <w:rsid w:val="0064558E"/>
    <w:rsid w:val="00654BEC"/>
    <w:rsid w:val="006660E6"/>
    <w:rsid w:val="00670449"/>
    <w:rsid w:val="0067286F"/>
    <w:rsid w:val="0067304D"/>
    <w:rsid w:val="00673443"/>
    <w:rsid w:val="00675AB5"/>
    <w:rsid w:val="006777DA"/>
    <w:rsid w:val="006826E2"/>
    <w:rsid w:val="006A48E5"/>
    <w:rsid w:val="006B7233"/>
    <w:rsid w:val="006C4140"/>
    <w:rsid w:val="006C5162"/>
    <w:rsid w:val="006C74A8"/>
    <w:rsid w:val="006D281C"/>
    <w:rsid w:val="006D3FE8"/>
    <w:rsid w:val="006D5565"/>
    <w:rsid w:val="006D646C"/>
    <w:rsid w:val="006D7F7C"/>
    <w:rsid w:val="006E6FC0"/>
    <w:rsid w:val="006F1040"/>
    <w:rsid w:val="006F7052"/>
    <w:rsid w:val="00700B09"/>
    <w:rsid w:val="00701143"/>
    <w:rsid w:val="00702637"/>
    <w:rsid w:val="00712851"/>
    <w:rsid w:val="00713EF6"/>
    <w:rsid w:val="007162AD"/>
    <w:rsid w:val="0072623F"/>
    <w:rsid w:val="00732570"/>
    <w:rsid w:val="0073681C"/>
    <w:rsid w:val="007520D2"/>
    <w:rsid w:val="007738E7"/>
    <w:rsid w:val="00790884"/>
    <w:rsid w:val="00791FA3"/>
    <w:rsid w:val="00796E02"/>
    <w:rsid w:val="007A48C7"/>
    <w:rsid w:val="007A5D65"/>
    <w:rsid w:val="007A6E8E"/>
    <w:rsid w:val="007A7E82"/>
    <w:rsid w:val="007B1F03"/>
    <w:rsid w:val="007B7082"/>
    <w:rsid w:val="007C12F9"/>
    <w:rsid w:val="007C49D0"/>
    <w:rsid w:val="007D3F3D"/>
    <w:rsid w:val="007D3F95"/>
    <w:rsid w:val="007D4246"/>
    <w:rsid w:val="007D4813"/>
    <w:rsid w:val="007D4C24"/>
    <w:rsid w:val="007D60A7"/>
    <w:rsid w:val="007E0508"/>
    <w:rsid w:val="007E18C3"/>
    <w:rsid w:val="007F3796"/>
    <w:rsid w:val="007F677F"/>
    <w:rsid w:val="00807DF2"/>
    <w:rsid w:val="00810E28"/>
    <w:rsid w:val="00812BB9"/>
    <w:rsid w:val="00814577"/>
    <w:rsid w:val="00814BB1"/>
    <w:rsid w:val="00816C53"/>
    <w:rsid w:val="008206C6"/>
    <w:rsid w:val="008219D6"/>
    <w:rsid w:val="00822264"/>
    <w:rsid w:val="00822B65"/>
    <w:rsid w:val="00824F28"/>
    <w:rsid w:val="00825530"/>
    <w:rsid w:val="00833AD5"/>
    <w:rsid w:val="008354D7"/>
    <w:rsid w:val="008413B2"/>
    <w:rsid w:val="00841EB9"/>
    <w:rsid w:val="00851A62"/>
    <w:rsid w:val="008521F7"/>
    <w:rsid w:val="00855119"/>
    <w:rsid w:val="008555E8"/>
    <w:rsid w:val="00860406"/>
    <w:rsid w:val="00864B83"/>
    <w:rsid w:val="00865A93"/>
    <w:rsid w:val="00866A15"/>
    <w:rsid w:val="00867E52"/>
    <w:rsid w:val="008741DE"/>
    <w:rsid w:val="008774B3"/>
    <w:rsid w:val="00883FC6"/>
    <w:rsid w:val="00886A84"/>
    <w:rsid w:val="00887230"/>
    <w:rsid w:val="008905A9"/>
    <w:rsid w:val="008907D9"/>
    <w:rsid w:val="0089510D"/>
    <w:rsid w:val="0089697E"/>
    <w:rsid w:val="0089762B"/>
    <w:rsid w:val="00897A1F"/>
    <w:rsid w:val="008A2987"/>
    <w:rsid w:val="008A68AF"/>
    <w:rsid w:val="008B55D4"/>
    <w:rsid w:val="008B74BC"/>
    <w:rsid w:val="008C1392"/>
    <w:rsid w:val="008D093F"/>
    <w:rsid w:val="008E4781"/>
    <w:rsid w:val="008E6166"/>
    <w:rsid w:val="008F0FB4"/>
    <w:rsid w:val="0090066C"/>
    <w:rsid w:val="0090337E"/>
    <w:rsid w:val="00904769"/>
    <w:rsid w:val="00912502"/>
    <w:rsid w:val="00914FF4"/>
    <w:rsid w:val="009225CF"/>
    <w:rsid w:val="00931322"/>
    <w:rsid w:val="00933B29"/>
    <w:rsid w:val="00934EA9"/>
    <w:rsid w:val="009351C8"/>
    <w:rsid w:val="0095269C"/>
    <w:rsid w:val="009553C5"/>
    <w:rsid w:val="00962C4B"/>
    <w:rsid w:val="009631EF"/>
    <w:rsid w:val="00964D62"/>
    <w:rsid w:val="00971401"/>
    <w:rsid w:val="009807F0"/>
    <w:rsid w:val="009813C8"/>
    <w:rsid w:val="00985105"/>
    <w:rsid w:val="00995028"/>
    <w:rsid w:val="009A2F00"/>
    <w:rsid w:val="009B3D1E"/>
    <w:rsid w:val="009B4A2A"/>
    <w:rsid w:val="009B56F6"/>
    <w:rsid w:val="009B72E3"/>
    <w:rsid w:val="009C12D7"/>
    <w:rsid w:val="009D03A4"/>
    <w:rsid w:val="009D11E8"/>
    <w:rsid w:val="009D1F8D"/>
    <w:rsid w:val="009D3443"/>
    <w:rsid w:val="009D4CA7"/>
    <w:rsid w:val="009D4E7B"/>
    <w:rsid w:val="009E029C"/>
    <w:rsid w:val="009E3BD5"/>
    <w:rsid w:val="009F548B"/>
    <w:rsid w:val="009F6110"/>
    <w:rsid w:val="00A000A4"/>
    <w:rsid w:val="00A10F5F"/>
    <w:rsid w:val="00A11115"/>
    <w:rsid w:val="00A15BC5"/>
    <w:rsid w:val="00A26121"/>
    <w:rsid w:val="00A30BEF"/>
    <w:rsid w:val="00A3135C"/>
    <w:rsid w:val="00A325C8"/>
    <w:rsid w:val="00A34888"/>
    <w:rsid w:val="00A44063"/>
    <w:rsid w:val="00A47CC2"/>
    <w:rsid w:val="00A50651"/>
    <w:rsid w:val="00A52BCB"/>
    <w:rsid w:val="00A60DFA"/>
    <w:rsid w:val="00A61A4C"/>
    <w:rsid w:val="00A63A39"/>
    <w:rsid w:val="00A65D67"/>
    <w:rsid w:val="00A82A08"/>
    <w:rsid w:val="00A871E5"/>
    <w:rsid w:val="00A92EB1"/>
    <w:rsid w:val="00A958AA"/>
    <w:rsid w:val="00AA166B"/>
    <w:rsid w:val="00AB2713"/>
    <w:rsid w:val="00AB4058"/>
    <w:rsid w:val="00AC5D8E"/>
    <w:rsid w:val="00AC7869"/>
    <w:rsid w:val="00AD4B17"/>
    <w:rsid w:val="00AD5CDA"/>
    <w:rsid w:val="00AE038B"/>
    <w:rsid w:val="00AE6380"/>
    <w:rsid w:val="00AF2533"/>
    <w:rsid w:val="00AF3F8C"/>
    <w:rsid w:val="00AF502E"/>
    <w:rsid w:val="00B01713"/>
    <w:rsid w:val="00B0236E"/>
    <w:rsid w:val="00B06694"/>
    <w:rsid w:val="00B10B1B"/>
    <w:rsid w:val="00B11F0F"/>
    <w:rsid w:val="00B12B19"/>
    <w:rsid w:val="00B12C2C"/>
    <w:rsid w:val="00B17250"/>
    <w:rsid w:val="00B20033"/>
    <w:rsid w:val="00B25982"/>
    <w:rsid w:val="00B303D0"/>
    <w:rsid w:val="00B5461D"/>
    <w:rsid w:val="00B56CE0"/>
    <w:rsid w:val="00B62B44"/>
    <w:rsid w:val="00B72732"/>
    <w:rsid w:val="00B84DFA"/>
    <w:rsid w:val="00B87599"/>
    <w:rsid w:val="00B94FC8"/>
    <w:rsid w:val="00BA3E73"/>
    <w:rsid w:val="00BA5BA0"/>
    <w:rsid w:val="00BA771E"/>
    <w:rsid w:val="00BA7C69"/>
    <w:rsid w:val="00BB4781"/>
    <w:rsid w:val="00BB5585"/>
    <w:rsid w:val="00BB6AF2"/>
    <w:rsid w:val="00BB7A02"/>
    <w:rsid w:val="00BC3095"/>
    <w:rsid w:val="00BC39CF"/>
    <w:rsid w:val="00BD75C5"/>
    <w:rsid w:val="00BE29E2"/>
    <w:rsid w:val="00BE3484"/>
    <w:rsid w:val="00BE6BEA"/>
    <w:rsid w:val="00BE74E8"/>
    <w:rsid w:val="00C07A8A"/>
    <w:rsid w:val="00C13E7D"/>
    <w:rsid w:val="00C1598E"/>
    <w:rsid w:val="00C16F56"/>
    <w:rsid w:val="00C2690A"/>
    <w:rsid w:val="00C367BD"/>
    <w:rsid w:val="00C514F4"/>
    <w:rsid w:val="00C51838"/>
    <w:rsid w:val="00C61651"/>
    <w:rsid w:val="00C644B7"/>
    <w:rsid w:val="00C657E2"/>
    <w:rsid w:val="00C7397F"/>
    <w:rsid w:val="00C75980"/>
    <w:rsid w:val="00C75B4A"/>
    <w:rsid w:val="00C777B0"/>
    <w:rsid w:val="00C80286"/>
    <w:rsid w:val="00C8363A"/>
    <w:rsid w:val="00C84D17"/>
    <w:rsid w:val="00C94AB8"/>
    <w:rsid w:val="00CA5664"/>
    <w:rsid w:val="00CA6DDB"/>
    <w:rsid w:val="00CB011E"/>
    <w:rsid w:val="00CB30C4"/>
    <w:rsid w:val="00CC6322"/>
    <w:rsid w:val="00CC6566"/>
    <w:rsid w:val="00CD1B51"/>
    <w:rsid w:val="00CE1E81"/>
    <w:rsid w:val="00CE4793"/>
    <w:rsid w:val="00CE7E23"/>
    <w:rsid w:val="00CF0F7B"/>
    <w:rsid w:val="00CF1538"/>
    <w:rsid w:val="00CF1CF1"/>
    <w:rsid w:val="00D02A4A"/>
    <w:rsid w:val="00D0470F"/>
    <w:rsid w:val="00D069CD"/>
    <w:rsid w:val="00D152B5"/>
    <w:rsid w:val="00D32337"/>
    <w:rsid w:val="00D330B5"/>
    <w:rsid w:val="00D354A5"/>
    <w:rsid w:val="00D35724"/>
    <w:rsid w:val="00D37065"/>
    <w:rsid w:val="00D42ED6"/>
    <w:rsid w:val="00D46B0F"/>
    <w:rsid w:val="00D5124B"/>
    <w:rsid w:val="00D52FE3"/>
    <w:rsid w:val="00D53592"/>
    <w:rsid w:val="00D53881"/>
    <w:rsid w:val="00D5414C"/>
    <w:rsid w:val="00D5491B"/>
    <w:rsid w:val="00D5742E"/>
    <w:rsid w:val="00D656B2"/>
    <w:rsid w:val="00D66198"/>
    <w:rsid w:val="00D663EA"/>
    <w:rsid w:val="00D77AD5"/>
    <w:rsid w:val="00D85A1A"/>
    <w:rsid w:val="00D95A65"/>
    <w:rsid w:val="00D971F2"/>
    <w:rsid w:val="00D9744E"/>
    <w:rsid w:val="00DA09D3"/>
    <w:rsid w:val="00DA2CDB"/>
    <w:rsid w:val="00DA6F17"/>
    <w:rsid w:val="00DB11E9"/>
    <w:rsid w:val="00DB34DB"/>
    <w:rsid w:val="00DB76B3"/>
    <w:rsid w:val="00DC5C73"/>
    <w:rsid w:val="00DC7210"/>
    <w:rsid w:val="00DD012E"/>
    <w:rsid w:val="00DD0D72"/>
    <w:rsid w:val="00DD3A76"/>
    <w:rsid w:val="00DD5333"/>
    <w:rsid w:val="00DD7FB7"/>
    <w:rsid w:val="00DE0AFF"/>
    <w:rsid w:val="00DE1D7B"/>
    <w:rsid w:val="00DE4A34"/>
    <w:rsid w:val="00DF3FA8"/>
    <w:rsid w:val="00DF6F84"/>
    <w:rsid w:val="00DF7768"/>
    <w:rsid w:val="00E033C5"/>
    <w:rsid w:val="00E11C19"/>
    <w:rsid w:val="00E11E54"/>
    <w:rsid w:val="00E16896"/>
    <w:rsid w:val="00E21CF4"/>
    <w:rsid w:val="00E341F4"/>
    <w:rsid w:val="00E354E6"/>
    <w:rsid w:val="00E4408E"/>
    <w:rsid w:val="00E469F4"/>
    <w:rsid w:val="00E535D5"/>
    <w:rsid w:val="00E55AFB"/>
    <w:rsid w:val="00E57F3C"/>
    <w:rsid w:val="00E671E2"/>
    <w:rsid w:val="00E71209"/>
    <w:rsid w:val="00E807C0"/>
    <w:rsid w:val="00E85073"/>
    <w:rsid w:val="00E8577E"/>
    <w:rsid w:val="00E8652B"/>
    <w:rsid w:val="00E97983"/>
    <w:rsid w:val="00EA66B7"/>
    <w:rsid w:val="00EB0466"/>
    <w:rsid w:val="00EB1E3B"/>
    <w:rsid w:val="00EB28A7"/>
    <w:rsid w:val="00EB5E4A"/>
    <w:rsid w:val="00EB60B3"/>
    <w:rsid w:val="00EB68A1"/>
    <w:rsid w:val="00EC3FCC"/>
    <w:rsid w:val="00ED5D0D"/>
    <w:rsid w:val="00F01643"/>
    <w:rsid w:val="00F01C75"/>
    <w:rsid w:val="00F028E0"/>
    <w:rsid w:val="00F05932"/>
    <w:rsid w:val="00F06BD9"/>
    <w:rsid w:val="00F06EBB"/>
    <w:rsid w:val="00F172D9"/>
    <w:rsid w:val="00F25D20"/>
    <w:rsid w:val="00F40E4F"/>
    <w:rsid w:val="00F42269"/>
    <w:rsid w:val="00F56D24"/>
    <w:rsid w:val="00F60198"/>
    <w:rsid w:val="00F633A4"/>
    <w:rsid w:val="00F72966"/>
    <w:rsid w:val="00F73EB6"/>
    <w:rsid w:val="00F75283"/>
    <w:rsid w:val="00F80B15"/>
    <w:rsid w:val="00F81948"/>
    <w:rsid w:val="00F859D7"/>
    <w:rsid w:val="00F8650C"/>
    <w:rsid w:val="00F90151"/>
    <w:rsid w:val="00F9333B"/>
    <w:rsid w:val="00F964B5"/>
    <w:rsid w:val="00F964D7"/>
    <w:rsid w:val="00FA3B06"/>
    <w:rsid w:val="00FA4D70"/>
    <w:rsid w:val="00FA72F9"/>
    <w:rsid w:val="00FB12B1"/>
    <w:rsid w:val="00FB7987"/>
    <w:rsid w:val="00FC0900"/>
    <w:rsid w:val="00FD44C1"/>
    <w:rsid w:val="00FE016A"/>
    <w:rsid w:val="00FF2A36"/>
    <w:rsid w:val="00FF70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CCB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B72E3"/>
    <w:pPr>
      <w:spacing w:after="60" w:line="252" w:lineRule="auto"/>
      <w:jc w:val="both"/>
    </w:pPr>
    <w:rPr>
      <w:rFonts w:asciiTheme="minorHAnsi" w:eastAsiaTheme="minorEastAsia" w:hAnsiTheme="minorHAnsi"/>
      <w:sz w:val="22"/>
      <w:szCs w:val="24"/>
    </w:rPr>
  </w:style>
  <w:style w:type="paragraph" w:styleId="Nadpis1">
    <w:name w:val="heading 1"/>
    <w:basedOn w:val="Normln"/>
    <w:link w:val="Nadpis1Char"/>
    <w:autoRedefine/>
    <w:uiPriority w:val="9"/>
    <w:qFormat/>
    <w:rsid w:val="00006DDD"/>
    <w:pPr>
      <w:numPr>
        <w:numId w:val="3"/>
      </w:numPr>
      <w:tabs>
        <w:tab w:val="left" w:pos="851"/>
      </w:tabs>
      <w:spacing w:before="360" w:after="0"/>
      <w:outlineLvl w:val="0"/>
    </w:pPr>
    <w:rPr>
      <w:rFonts w:ascii="Calibri Light" w:hAnsi="Calibri Light"/>
      <w:b/>
      <w:sz w:val="32"/>
      <w:szCs w:val="32"/>
    </w:rPr>
  </w:style>
  <w:style w:type="paragraph" w:styleId="Nadpis2">
    <w:name w:val="heading 2"/>
    <w:basedOn w:val="Normln"/>
    <w:link w:val="Nadpis2Char"/>
    <w:autoRedefine/>
    <w:uiPriority w:val="9"/>
    <w:qFormat/>
    <w:rsid w:val="006D5565"/>
    <w:pPr>
      <w:numPr>
        <w:ilvl w:val="1"/>
        <w:numId w:val="3"/>
      </w:numPr>
      <w:tabs>
        <w:tab w:val="left" w:pos="851"/>
      </w:tabs>
      <w:spacing w:before="240" w:after="0"/>
      <w:outlineLvl w:val="1"/>
    </w:pPr>
    <w:rPr>
      <w:rFonts w:ascii="Calibri Light" w:hAnsi="Calibri Light"/>
      <w:b/>
      <w:sz w:val="28"/>
      <w:szCs w:val="28"/>
    </w:rPr>
  </w:style>
  <w:style w:type="paragraph" w:styleId="Nadpis3">
    <w:name w:val="heading 3"/>
    <w:basedOn w:val="Normln"/>
    <w:link w:val="Nadpis3Char"/>
    <w:autoRedefine/>
    <w:uiPriority w:val="9"/>
    <w:qFormat/>
    <w:rsid w:val="00343BAF"/>
    <w:pPr>
      <w:numPr>
        <w:numId w:val="6"/>
      </w:numPr>
      <w:spacing w:before="120" w:after="0"/>
      <w:outlineLvl w:val="2"/>
    </w:pPr>
    <w:rPr>
      <w:rFonts w:ascii="Calibri Light" w:hAnsi="Calibri Light"/>
      <w:b/>
      <w:sz w:val="24"/>
      <w:szCs w:val="28"/>
    </w:rPr>
  </w:style>
  <w:style w:type="paragraph" w:styleId="Nadpis4">
    <w:name w:val="heading 4"/>
    <w:basedOn w:val="Normln"/>
    <w:link w:val="Nadpis4Char"/>
    <w:uiPriority w:val="9"/>
    <w:qFormat/>
    <w:rsid w:val="00110944"/>
    <w:pPr>
      <w:keepNext/>
      <w:outlineLvl w:val="3"/>
    </w:pPr>
    <w:rPr>
      <w:rFonts w:ascii="Arial" w:hAnsi="Arial" w:cs="Arial"/>
      <w:color w:val="000000"/>
      <w:sz w:val="36"/>
      <w:szCs w:val="36"/>
    </w:rPr>
  </w:style>
  <w:style w:type="paragraph" w:styleId="Nadpis5">
    <w:name w:val="heading 5"/>
    <w:basedOn w:val="Normln"/>
    <w:link w:val="Nadpis5Char"/>
    <w:uiPriority w:val="9"/>
    <w:qFormat/>
    <w:rsid w:val="00110944"/>
    <w:pPr>
      <w:keepNext/>
      <w:outlineLvl w:val="4"/>
    </w:pPr>
    <w:rPr>
      <w:rFonts w:ascii="Arial" w:hAnsi="Arial" w:cs="Arial"/>
      <w:sz w:val="40"/>
      <w:szCs w:val="40"/>
    </w:rPr>
  </w:style>
  <w:style w:type="paragraph" w:styleId="Nadpis6">
    <w:name w:val="heading 6"/>
    <w:basedOn w:val="Normln"/>
    <w:link w:val="Nadpis6Char"/>
    <w:uiPriority w:val="9"/>
    <w:qFormat/>
    <w:rsid w:val="00110944"/>
    <w:pPr>
      <w:keepNext/>
      <w:outlineLvl w:val="5"/>
    </w:pPr>
    <w:rPr>
      <w:rFonts w:ascii="Arial" w:hAnsi="Arial" w:cs="Arial"/>
      <w:sz w:val="32"/>
      <w:szCs w:val="32"/>
    </w:rPr>
  </w:style>
  <w:style w:type="paragraph" w:styleId="Nadpis7">
    <w:name w:val="heading 7"/>
    <w:basedOn w:val="Normln"/>
    <w:link w:val="Nadpis7Char"/>
    <w:uiPriority w:val="9"/>
    <w:qFormat/>
    <w:rsid w:val="00110944"/>
    <w:pPr>
      <w:keepNext/>
      <w:outlineLvl w:val="6"/>
    </w:pPr>
    <w:rPr>
      <w:rFonts w:ascii="Arial" w:hAnsi="Arial" w:cs="Arial"/>
      <w:sz w:val="36"/>
      <w:szCs w:val="36"/>
    </w:rPr>
  </w:style>
  <w:style w:type="paragraph" w:styleId="Nadpis8">
    <w:name w:val="heading 8"/>
    <w:basedOn w:val="Normln"/>
    <w:link w:val="Nadpis8Char"/>
    <w:uiPriority w:val="9"/>
    <w:qFormat/>
    <w:rsid w:val="00110944"/>
    <w:pPr>
      <w:keepNext/>
      <w:outlineLvl w:val="7"/>
    </w:pPr>
    <w:rPr>
      <w:rFonts w:ascii="Arial" w:hAnsi="Arial" w:cs="Arial"/>
      <w:sz w:val="28"/>
      <w:szCs w:val="28"/>
    </w:rPr>
  </w:style>
  <w:style w:type="paragraph" w:styleId="Nadpis9">
    <w:name w:val="heading 9"/>
    <w:basedOn w:val="Normln"/>
    <w:link w:val="Nadpis9Char"/>
    <w:uiPriority w:val="9"/>
    <w:qFormat/>
    <w:rsid w:val="00110944"/>
    <w:pPr>
      <w:keepNext/>
      <w:outlineLvl w:val="8"/>
    </w:pPr>
    <w:rPr>
      <w:rFonts w:ascii="Arial" w:hAnsi="Arial" w:cs="Arial"/>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06DDD"/>
    <w:rPr>
      <w:rFonts w:ascii="Calibri Light" w:eastAsiaTheme="minorEastAsia" w:hAnsi="Calibri Light"/>
      <w:b/>
      <w:sz w:val="32"/>
      <w:szCs w:val="32"/>
    </w:rPr>
  </w:style>
  <w:style w:type="character" w:customStyle="1" w:styleId="Nadpis2Char">
    <w:name w:val="Nadpis 2 Char"/>
    <w:basedOn w:val="Standardnpsmoodstavce"/>
    <w:link w:val="Nadpis2"/>
    <w:uiPriority w:val="9"/>
    <w:rsid w:val="006D5565"/>
    <w:rPr>
      <w:rFonts w:ascii="Calibri Light" w:eastAsiaTheme="minorEastAsia" w:hAnsi="Calibri Light"/>
      <w:b/>
      <w:sz w:val="28"/>
      <w:szCs w:val="28"/>
    </w:rPr>
  </w:style>
  <w:style w:type="character" w:customStyle="1" w:styleId="Nadpis3Char">
    <w:name w:val="Nadpis 3 Char"/>
    <w:basedOn w:val="Standardnpsmoodstavce"/>
    <w:link w:val="Nadpis3"/>
    <w:uiPriority w:val="9"/>
    <w:rsid w:val="00343BAF"/>
    <w:rPr>
      <w:rFonts w:ascii="Calibri Light" w:eastAsiaTheme="minorEastAsia" w:hAnsi="Calibri Light"/>
      <w:b/>
      <w:sz w:val="24"/>
      <w:szCs w:val="28"/>
    </w:rPr>
  </w:style>
  <w:style w:type="character" w:customStyle="1" w:styleId="Nadpis4Char">
    <w:name w:val="Nadpis 4 Char"/>
    <w:basedOn w:val="Standardnpsmoodstavce"/>
    <w:link w:val="Nadpis4"/>
    <w:uiPriority w:val="9"/>
    <w:semiHidden/>
    <w:rsid w:val="00110944"/>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110944"/>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110944"/>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110944"/>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110944"/>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110944"/>
    <w:rPr>
      <w:rFonts w:asciiTheme="majorHAnsi" w:eastAsiaTheme="majorEastAsia" w:hAnsiTheme="majorHAnsi" w:cstheme="majorBidi"/>
      <w:i/>
      <w:iCs/>
      <w:color w:val="404040" w:themeColor="text1" w:themeTint="BF"/>
    </w:rPr>
  </w:style>
  <w:style w:type="paragraph" w:styleId="Textvbloku">
    <w:name w:val="Block Text"/>
    <w:basedOn w:val="Normln"/>
    <w:uiPriority w:val="99"/>
    <w:semiHidden/>
    <w:unhideWhenUsed/>
    <w:rsid w:val="00110944"/>
    <w:pPr>
      <w:ind w:left="1416" w:right="-468" w:firstLine="708"/>
    </w:pPr>
    <w:rPr>
      <w:rFonts w:ascii="Arial" w:hAnsi="Arial" w:cs="Arial"/>
      <w:color w:val="000000"/>
      <w:sz w:val="44"/>
      <w:szCs w:val="44"/>
    </w:rPr>
  </w:style>
  <w:style w:type="paragraph" w:styleId="Textbubliny">
    <w:name w:val="Balloon Text"/>
    <w:basedOn w:val="Normln"/>
    <w:link w:val="TextbublinyChar"/>
    <w:uiPriority w:val="99"/>
    <w:semiHidden/>
    <w:unhideWhenUsed/>
    <w:rsid w:val="005A6CBB"/>
    <w:rPr>
      <w:rFonts w:ascii="Tahoma" w:hAnsi="Tahoma" w:cs="Tahoma"/>
      <w:sz w:val="16"/>
      <w:szCs w:val="16"/>
    </w:rPr>
  </w:style>
  <w:style w:type="character" w:customStyle="1" w:styleId="TextbublinyChar">
    <w:name w:val="Text bubliny Char"/>
    <w:basedOn w:val="Standardnpsmoodstavce"/>
    <w:link w:val="Textbubliny"/>
    <w:uiPriority w:val="99"/>
    <w:semiHidden/>
    <w:rsid w:val="005A6CBB"/>
    <w:rPr>
      <w:rFonts w:ascii="Tahoma" w:eastAsiaTheme="minorEastAsia" w:hAnsi="Tahoma" w:cs="Tahoma"/>
      <w:sz w:val="16"/>
      <w:szCs w:val="16"/>
    </w:rPr>
  </w:style>
  <w:style w:type="paragraph" w:styleId="Odstavecseseznamem">
    <w:name w:val="List Paragraph"/>
    <w:basedOn w:val="Normln"/>
    <w:uiPriority w:val="34"/>
    <w:qFormat/>
    <w:rsid w:val="005B09D6"/>
    <w:pPr>
      <w:spacing w:after="200"/>
      <w:ind w:left="720"/>
      <w:contextualSpacing/>
    </w:pPr>
    <w:rPr>
      <w:rFonts w:eastAsiaTheme="minorHAnsi" w:cstheme="minorBidi"/>
      <w:szCs w:val="22"/>
      <w:lang w:eastAsia="en-US"/>
    </w:rPr>
  </w:style>
  <w:style w:type="paragraph" w:styleId="Zhlav">
    <w:name w:val="header"/>
    <w:aliases w:val="záhlaví"/>
    <w:basedOn w:val="Normln"/>
    <w:link w:val="ZhlavChar"/>
    <w:unhideWhenUsed/>
    <w:rsid w:val="005B09D6"/>
    <w:pPr>
      <w:tabs>
        <w:tab w:val="center" w:pos="4536"/>
        <w:tab w:val="right" w:pos="9072"/>
      </w:tabs>
    </w:pPr>
  </w:style>
  <w:style w:type="character" w:customStyle="1" w:styleId="ZhlavChar">
    <w:name w:val="Záhlaví Char"/>
    <w:aliases w:val="záhlaví Char"/>
    <w:basedOn w:val="Standardnpsmoodstavce"/>
    <w:link w:val="Zhlav"/>
    <w:rsid w:val="005B09D6"/>
    <w:rPr>
      <w:rFonts w:eastAsiaTheme="minorEastAsia"/>
      <w:sz w:val="24"/>
      <w:szCs w:val="24"/>
    </w:rPr>
  </w:style>
  <w:style w:type="paragraph" w:styleId="Zpat">
    <w:name w:val="footer"/>
    <w:basedOn w:val="Normln"/>
    <w:link w:val="ZpatChar"/>
    <w:uiPriority w:val="99"/>
    <w:unhideWhenUsed/>
    <w:rsid w:val="005B09D6"/>
    <w:pPr>
      <w:tabs>
        <w:tab w:val="center" w:pos="4536"/>
        <w:tab w:val="right" w:pos="9072"/>
      </w:tabs>
    </w:pPr>
  </w:style>
  <w:style w:type="character" w:customStyle="1" w:styleId="ZpatChar">
    <w:name w:val="Zápatí Char"/>
    <w:basedOn w:val="Standardnpsmoodstavce"/>
    <w:link w:val="Zpat"/>
    <w:uiPriority w:val="99"/>
    <w:rsid w:val="005B09D6"/>
    <w:rPr>
      <w:rFonts w:eastAsiaTheme="minorEastAsia"/>
      <w:sz w:val="24"/>
      <w:szCs w:val="24"/>
    </w:rPr>
  </w:style>
  <w:style w:type="character" w:styleId="Hypertextovodkaz">
    <w:name w:val="Hyperlink"/>
    <w:basedOn w:val="Standardnpsmoodstavce"/>
    <w:uiPriority w:val="99"/>
    <w:unhideWhenUsed/>
    <w:rsid w:val="00F90151"/>
    <w:rPr>
      <w:color w:val="0000FF" w:themeColor="hyperlink"/>
      <w:u w:val="single"/>
    </w:rPr>
  </w:style>
  <w:style w:type="table" w:styleId="Mkatabulky">
    <w:name w:val="Table Grid"/>
    <w:basedOn w:val="Normlntabulka"/>
    <w:uiPriority w:val="59"/>
    <w:rsid w:val="00F9015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lnweb">
    <w:name w:val="Normal (Web)"/>
    <w:basedOn w:val="Normln"/>
    <w:uiPriority w:val="99"/>
    <w:unhideWhenUsed/>
    <w:rsid w:val="008413B2"/>
    <w:pPr>
      <w:spacing w:before="100" w:beforeAutospacing="1" w:after="100" w:afterAutospacing="1"/>
    </w:pPr>
    <w:rPr>
      <w:rFonts w:eastAsia="Times New Roman"/>
    </w:rPr>
  </w:style>
  <w:style w:type="character" w:styleId="Siln">
    <w:name w:val="Strong"/>
    <w:basedOn w:val="Standardnpsmoodstavce"/>
    <w:uiPriority w:val="22"/>
    <w:qFormat/>
    <w:rsid w:val="008413B2"/>
    <w:rPr>
      <w:b/>
      <w:bCs/>
    </w:rPr>
  </w:style>
  <w:style w:type="paragraph" w:customStyle="1" w:styleId="TZ-text">
    <w:name w:val="TZ - text"/>
    <w:basedOn w:val="Prosttext"/>
    <w:link w:val="TZ-textChar"/>
    <w:rsid w:val="00A92EB1"/>
    <w:pPr>
      <w:spacing w:after="200"/>
      <w:ind w:left="1134"/>
    </w:pPr>
    <w:rPr>
      <w:rFonts w:asciiTheme="minorHAnsi" w:eastAsia="MS Mincho" w:hAnsiTheme="minorHAnsi" w:cs="Arial"/>
      <w:sz w:val="22"/>
    </w:rPr>
  </w:style>
  <w:style w:type="character" w:customStyle="1" w:styleId="TZ-textChar">
    <w:name w:val="TZ - text Char"/>
    <w:basedOn w:val="ProsttextChar"/>
    <w:link w:val="TZ-text"/>
    <w:rsid w:val="00A92EB1"/>
    <w:rPr>
      <w:rFonts w:asciiTheme="minorHAnsi" w:eastAsia="MS Mincho" w:hAnsiTheme="minorHAnsi" w:cs="Arial"/>
      <w:sz w:val="22"/>
      <w:szCs w:val="21"/>
    </w:rPr>
  </w:style>
  <w:style w:type="paragraph" w:styleId="Prosttext">
    <w:name w:val="Plain Text"/>
    <w:basedOn w:val="Normln"/>
    <w:link w:val="ProsttextChar"/>
    <w:uiPriority w:val="99"/>
    <w:semiHidden/>
    <w:unhideWhenUsed/>
    <w:rsid w:val="00A92EB1"/>
    <w:rPr>
      <w:rFonts w:ascii="Consolas" w:hAnsi="Consolas"/>
      <w:sz w:val="21"/>
      <w:szCs w:val="21"/>
    </w:rPr>
  </w:style>
  <w:style w:type="character" w:customStyle="1" w:styleId="ProsttextChar">
    <w:name w:val="Prostý text Char"/>
    <w:basedOn w:val="Standardnpsmoodstavce"/>
    <w:link w:val="Prosttext"/>
    <w:uiPriority w:val="99"/>
    <w:semiHidden/>
    <w:rsid w:val="00A92EB1"/>
    <w:rPr>
      <w:rFonts w:ascii="Consolas" w:eastAsiaTheme="minorEastAsia" w:hAnsi="Consolas"/>
      <w:sz w:val="21"/>
      <w:szCs w:val="21"/>
    </w:rPr>
  </w:style>
  <w:style w:type="paragraph" w:styleId="Nadpisobsahu">
    <w:name w:val="TOC Heading"/>
    <w:basedOn w:val="Nadpis1"/>
    <w:next w:val="Normln"/>
    <w:uiPriority w:val="39"/>
    <w:unhideWhenUsed/>
    <w:qFormat/>
    <w:rsid w:val="00035778"/>
    <w:pPr>
      <w:keepNext/>
      <w:keepLines/>
      <w:tabs>
        <w:tab w:val="clear" w:pos="851"/>
      </w:tabs>
      <w:spacing w:before="480"/>
      <w:jc w:val="left"/>
      <w:outlineLvl w:val="9"/>
    </w:pPr>
    <w:rPr>
      <w:rFonts w:asciiTheme="majorHAnsi" w:eastAsiaTheme="majorEastAsia" w:hAnsiTheme="majorHAnsi" w:cstheme="majorBidi"/>
      <w:bCs/>
      <w:color w:val="365F91" w:themeColor="accent1" w:themeShade="BF"/>
      <w:sz w:val="28"/>
      <w:szCs w:val="28"/>
    </w:rPr>
  </w:style>
  <w:style w:type="paragraph" w:styleId="Obsah1">
    <w:name w:val="toc 1"/>
    <w:basedOn w:val="Normln"/>
    <w:next w:val="Normln"/>
    <w:autoRedefine/>
    <w:uiPriority w:val="39"/>
    <w:unhideWhenUsed/>
    <w:rsid w:val="009D11E8"/>
    <w:pPr>
      <w:tabs>
        <w:tab w:val="left" w:pos="480"/>
        <w:tab w:val="right" w:leader="dot" w:pos="9629"/>
      </w:tabs>
      <w:spacing w:before="120"/>
      <w:jc w:val="left"/>
    </w:pPr>
    <w:rPr>
      <w:b/>
      <w:bCs/>
      <w:caps/>
      <w:sz w:val="20"/>
      <w:szCs w:val="20"/>
    </w:rPr>
  </w:style>
  <w:style w:type="paragraph" w:styleId="Obsah3">
    <w:name w:val="toc 3"/>
    <w:basedOn w:val="Normln"/>
    <w:next w:val="Normln"/>
    <w:autoRedefine/>
    <w:uiPriority w:val="39"/>
    <w:unhideWhenUsed/>
    <w:rsid w:val="00035778"/>
    <w:pPr>
      <w:ind w:left="480"/>
      <w:jc w:val="left"/>
    </w:pPr>
    <w:rPr>
      <w:i/>
      <w:iCs/>
      <w:sz w:val="20"/>
      <w:szCs w:val="20"/>
    </w:rPr>
  </w:style>
  <w:style w:type="paragraph" w:styleId="Obsah2">
    <w:name w:val="toc 2"/>
    <w:basedOn w:val="Normln"/>
    <w:next w:val="Normln"/>
    <w:autoRedefine/>
    <w:uiPriority w:val="39"/>
    <w:unhideWhenUsed/>
    <w:rsid w:val="00035778"/>
    <w:pPr>
      <w:ind w:left="240"/>
      <w:jc w:val="left"/>
    </w:pPr>
    <w:rPr>
      <w:smallCaps/>
      <w:sz w:val="20"/>
      <w:szCs w:val="20"/>
    </w:rPr>
  </w:style>
  <w:style w:type="paragraph" w:styleId="Obsah4">
    <w:name w:val="toc 4"/>
    <w:basedOn w:val="Normln"/>
    <w:next w:val="Normln"/>
    <w:autoRedefine/>
    <w:uiPriority w:val="39"/>
    <w:unhideWhenUsed/>
    <w:rsid w:val="00DD012E"/>
    <w:pPr>
      <w:ind w:left="720"/>
      <w:jc w:val="left"/>
    </w:pPr>
    <w:rPr>
      <w:sz w:val="18"/>
      <w:szCs w:val="18"/>
    </w:rPr>
  </w:style>
  <w:style w:type="paragraph" w:styleId="Obsah5">
    <w:name w:val="toc 5"/>
    <w:basedOn w:val="Normln"/>
    <w:next w:val="Normln"/>
    <w:autoRedefine/>
    <w:uiPriority w:val="39"/>
    <w:unhideWhenUsed/>
    <w:rsid w:val="00DD012E"/>
    <w:pPr>
      <w:ind w:left="960"/>
      <w:jc w:val="left"/>
    </w:pPr>
    <w:rPr>
      <w:sz w:val="18"/>
      <w:szCs w:val="18"/>
    </w:rPr>
  </w:style>
  <w:style w:type="paragraph" w:styleId="Obsah6">
    <w:name w:val="toc 6"/>
    <w:basedOn w:val="Normln"/>
    <w:next w:val="Normln"/>
    <w:autoRedefine/>
    <w:uiPriority w:val="39"/>
    <w:unhideWhenUsed/>
    <w:rsid w:val="00DD012E"/>
    <w:pPr>
      <w:ind w:left="1200"/>
      <w:jc w:val="left"/>
    </w:pPr>
    <w:rPr>
      <w:sz w:val="18"/>
      <w:szCs w:val="18"/>
    </w:rPr>
  </w:style>
  <w:style w:type="paragraph" w:styleId="Obsah7">
    <w:name w:val="toc 7"/>
    <w:basedOn w:val="Normln"/>
    <w:next w:val="Normln"/>
    <w:autoRedefine/>
    <w:uiPriority w:val="39"/>
    <w:unhideWhenUsed/>
    <w:rsid w:val="00DD012E"/>
    <w:pPr>
      <w:ind w:left="1440"/>
      <w:jc w:val="left"/>
    </w:pPr>
    <w:rPr>
      <w:sz w:val="18"/>
      <w:szCs w:val="18"/>
    </w:rPr>
  </w:style>
  <w:style w:type="paragraph" w:styleId="Obsah8">
    <w:name w:val="toc 8"/>
    <w:basedOn w:val="Normln"/>
    <w:next w:val="Normln"/>
    <w:autoRedefine/>
    <w:uiPriority w:val="39"/>
    <w:unhideWhenUsed/>
    <w:rsid w:val="00DD012E"/>
    <w:pPr>
      <w:ind w:left="1680"/>
      <w:jc w:val="left"/>
    </w:pPr>
    <w:rPr>
      <w:sz w:val="18"/>
      <w:szCs w:val="18"/>
    </w:rPr>
  </w:style>
  <w:style w:type="paragraph" w:styleId="Obsah9">
    <w:name w:val="toc 9"/>
    <w:basedOn w:val="Normln"/>
    <w:next w:val="Normln"/>
    <w:autoRedefine/>
    <w:uiPriority w:val="39"/>
    <w:unhideWhenUsed/>
    <w:rsid w:val="00DD012E"/>
    <w:pPr>
      <w:ind w:left="1920"/>
      <w:jc w:val="left"/>
    </w:pPr>
    <w:rPr>
      <w:sz w:val="18"/>
      <w:szCs w:val="18"/>
    </w:rPr>
  </w:style>
  <w:style w:type="character" w:styleId="Odkaznakoment">
    <w:name w:val="annotation reference"/>
    <w:basedOn w:val="Standardnpsmoodstavce"/>
    <w:uiPriority w:val="99"/>
    <w:semiHidden/>
    <w:unhideWhenUsed/>
    <w:rsid w:val="00AE038B"/>
    <w:rPr>
      <w:sz w:val="16"/>
      <w:szCs w:val="16"/>
    </w:rPr>
  </w:style>
  <w:style w:type="paragraph" w:styleId="Textkomente">
    <w:name w:val="annotation text"/>
    <w:basedOn w:val="Normln"/>
    <w:link w:val="TextkomenteChar"/>
    <w:uiPriority w:val="99"/>
    <w:semiHidden/>
    <w:unhideWhenUsed/>
    <w:rsid w:val="00AE038B"/>
    <w:pPr>
      <w:spacing w:line="240" w:lineRule="auto"/>
    </w:pPr>
    <w:rPr>
      <w:sz w:val="20"/>
      <w:szCs w:val="20"/>
    </w:rPr>
  </w:style>
  <w:style w:type="character" w:customStyle="1" w:styleId="TextkomenteChar">
    <w:name w:val="Text komentáře Char"/>
    <w:basedOn w:val="Standardnpsmoodstavce"/>
    <w:link w:val="Textkomente"/>
    <w:uiPriority w:val="99"/>
    <w:semiHidden/>
    <w:rsid w:val="00AE038B"/>
    <w:rPr>
      <w:rFonts w:asciiTheme="minorHAnsi" w:eastAsiaTheme="minorEastAsia" w:hAnsiTheme="minorHAnsi"/>
    </w:rPr>
  </w:style>
  <w:style w:type="paragraph" w:styleId="Pedmtkomente">
    <w:name w:val="annotation subject"/>
    <w:basedOn w:val="Textkomente"/>
    <w:next w:val="Textkomente"/>
    <w:link w:val="PedmtkomenteChar"/>
    <w:uiPriority w:val="99"/>
    <w:semiHidden/>
    <w:unhideWhenUsed/>
    <w:rsid w:val="00AE038B"/>
    <w:rPr>
      <w:b/>
      <w:bCs/>
    </w:rPr>
  </w:style>
  <w:style w:type="character" w:customStyle="1" w:styleId="PedmtkomenteChar">
    <w:name w:val="Předmět komentáře Char"/>
    <w:basedOn w:val="TextkomenteChar"/>
    <w:link w:val="Pedmtkomente"/>
    <w:uiPriority w:val="99"/>
    <w:semiHidden/>
    <w:rsid w:val="00AE038B"/>
    <w:rPr>
      <w:rFonts w:asciiTheme="minorHAnsi" w:eastAsiaTheme="minorEastAsia" w:hAnsiTheme="minorHAnsi"/>
      <w:b/>
      <w:bCs/>
    </w:rPr>
  </w:style>
  <w:style w:type="paragraph" w:customStyle="1" w:styleId="Textpsmene">
    <w:name w:val="Text písmene"/>
    <w:basedOn w:val="Normln"/>
    <w:rsid w:val="000D365C"/>
    <w:pPr>
      <w:suppressAutoHyphens/>
      <w:spacing w:after="0" w:line="240" w:lineRule="auto"/>
    </w:pPr>
    <w:rPr>
      <w:rFonts w:ascii="Times New Roman" w:eastAsia="Times New Roman" w:hAnsi="Times New Roman"/>
      <w:szCs w:val="20"/>
      <w:lang w:eastAsia="ar-SA"/>
    </w:rPr>
  </w:style>
  <w:style w:type="character" w:customStyle="1" w:styleId="style11">
    <w:name w:val="style11"/>
    <w:basedOn w:val="Standardnpsmoodstavce"/>
    <w:rsid w:val="00B87599"/>
    <w:rPr>
      <w:rFonts w:ascii="Arial" w:hAnsi="Arial" w:cs="Arial" w:hint="default"/>
      <w:sz w:val="24"/>
      <w:szCs w:val="24"/>
    </w:rPr>
  </w:style>
  <w:style w:type="paragraph" w:styleId="Nzev">
    <w:name w:val="Title"/>
    <w:basedOn w:val="Normln"/>
    <w:next w:val="Normln"/>
    <w:link w:val="NzevChar"/>
    <w:uiPriority w:val="10"/>
    <w:qFormat/>
    <w:rsid w:val="00605C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NzevChar">
    <w:name w:val="Název Char"/>
    <w:basedOn w:val="Standardnpsmoodstavce"/>
    <w:link w:val="Nzev"/>
    <w:uiPriority w:val="10"/>
    <w:rsid w:val="00605CAC"/>
    <w:rPr>
      <w:rFonts w:asciiTheme="majorHAnsi" w:eastAsiaTheme="majorEastAsia" w:hAnsiTheme="majorHAnsi" w:cstheme="majorBidi"/>
      <w:color w:val="17365D" w:themeColor="text2" w:themeShade="BF"/>
      <w:spacing w:val="5"/>
      <w:kern w:val="28"/>
      <w:sz w:val="52"/>
      <w:szCs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144947">
      <w:bodyDiv w:val="1"/>
      <w:marLeft w:val="0"/>
      <w:marRight w:val="0"/>
      <w:marTop w:val="0"/>
      <w:marBottom w:val="0"/>
      <w:divBdr>
        <w:top w:val="none" w:sz="0" w:space="0" w:color="auto"/>
        <w:left w:val="none" w:sz="0" w:space="0" w:color="auto"/>
        <w:bottom w:val="none" w:sz="0" w:space="0" w:color="auto"/>
        <w:right w:val="none" w:sz="0" w:space="0" w:color="auto"/>
      </w:divBdr>
    </w:div>
    <w:div w:id="183463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B537CF-0D2E-48E9-B1B7-2A6EA334A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2873</Words>
  <Characters>16956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2022-08-19T10:56:00Z</dcterms:created>
  <dcterms:modified xsi:type="dcterms:W3CDTF">2022-08-19T10:56:00Z</dcterms:modified>
</cp:coreProperties>
</file>